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8A" w:rsidRDefault="00EB1172">
      <w:pPr>
        <w:spacing w:line="276" w:lineRule="auto"/>
        <w:jc w:val="center"/>
        <w:rPr>
          <w:rFonts w:ascii="Arial" w:eastAsia="Arial" w:hAnsi="Arial" w:cs="Arial"/>
          <w:b/>
          <w:sz w:val="24"/>
          <w:szCs w:val="24"/>
        </w:rPr>
      </w:pPr>
      <w:r>
        <w:rPr>
          <w:rFonts w:ascii="Verdana" w:eastAsia="Verdana" w:hAnsi="Verdana" w:cs="Verdana"/>
          <w:b/>
        </w:rPr>
        <w:t>ANEXO I - TERMO DE REFERÊNCIA</w:t>
      </w:r>
    </w:p>
    <w:p w:rsidR="002E5C8A" w:rsidRDefault="002E5C8A">
      <w:pPr>
        <w:spacing w:before="120" w:line="276" w:lineRule="auto"/>
        <w:jc w:val="center"/>
        <w:rPr>
          <w:rFonts w:ascii="Arial" w:eastAsia="Arial" w:hAnsi="Arial" w:cs="Arial"/>
          <w:b/>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OBJETO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 Constituição de Sistema de Registro de Preços, para futuro e eventual fornecimento de </w:t>
      </w:r>
      <w:proofErr w:type="spellStart"/>
      <w:r>
        <w:rPr>
          <w:rFonts w:ascii="Arial" w:eastAsia="Arial" w:hAnsi="Arial" w:cs="Arial"/>
          <w:sz w:val="24"/>
          <w:szCs w:val="24"/>
        </w:rPr>
        <w:t>nobreaks</w:t>
      </w:r>
      <w:proofErr w:type="spellEnd"/>
      <w:r>
        <w:rPr>
          <w:rFonts w:ascii="Arial" w:eastAsia="Arial" w:hAnsi="Arial" w:cs="Arial"/>
          <w:sz w:val="24"/>
          <w:szCs w:val="24"/>
        </w:rPr>
        <w:t xml:space="preserve"> para a Defensoria Pública do Estado do Paraná.</w:t>
      </w:r>
    </w:p>
    <w:p w:rsidR="002E5C8A" w:rsidRDefault="002E5C8A">
      <w:pPr>
        <w:spacing w:line="276" w:lineRule="auto"/>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DETALHAMENTO DO OBJETO E DO VALOR MÁXIMO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Constituição de Sistema de Registro de Preços, para futuro e eventual fornecimento de </w:t>
      </w:r>
      <w:proofErr w:type="spellStart"/>
      <w:r>
        <w:rPr>
          <w:rFonts w:ascii="Arial" w:eastAsia="Arial" w:hAnsi="Arial" w:cs="Arial"/>
          <w:sz w:val="24"/>
          <w:szCs w:val="24"/>
        </w:rPr>
        <w:t>nobreaks</w:t>
      </w:r>
      <w:proofErr w:type="spellEnd"/>
      <w:r>
        <w:rPr>
          <w:rFonts w:ascii="Arial" w:eastAsia="Arial" w:hAnsi="Arial" w:cs="Arial"/>
          <w:sz w:val="24"/>
          <w:szCs w:val="24"/>
        </w:rPr>
        <w:t xml:space="preserve"> para a Defensoria Pública do Estado do Paraná, através de Ata de Registro de Preços, conforme quantitativo estimado e especificações deste Termo de Referência.</w:t>
      </w:r>
    </w:p>
    <w:p w:rsidR="002E5C8A" w:rsidRDefault="002E5C8A">
      <w:pPr>
        <w:spacing w:before="120" w:line="276" w:lineRule="auto"/>
        <w:ind w:left="720" w:hanging="360"/>
        <w:jc w:val="both"/>
        <w:rPr>
          <w:rFonts w:ascii="Arial" w:eastAsia="Arial" w:hAnsi="Arial" w:cs="Arial"/>
          <w:sz w:val="24"/>
          <w:szCs w:val="24"/>
        </w:rPr>
      </w:pPr>
    </w:p>
    <w:tbl>
      <w:tblPr>
        <w:tblStyle w:val="a3"/>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690"/>
        <w:gridCol w:w="3660"/>
        <w:gridCol w:w="1200"/>
        <w:gridCol w:w="1485"/>
        <w:gridCol w:w="1710"/>
      </w:tblGrid>
      <w:tr w:rsidR="002E5C8A">
        <w:trPr>
          <w:trHeight w:val="247"/>
          <w:jc w:val="center"/>
        </w:trPr>
        <w:tc>
          <w:tcPr>
            <w:tcW w:w="705"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Lote</w:t>
            </w:r>
          </w:p>
        </w:tc>
        <w:tc>
          <w:tcPr>
            <w:tcW w:w="690"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Item</w:t>
            </w:r>
          </w:p>
        </w:tc>
        <w:tc>
          <w:tcPr>
            <w:tcW w:w="3660"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Descrição</w:t>
            </w:r>
          </w:p>
        </w:tc>
        <w:tc>
          <w:tcPr>
            <w:tcW w:w="1200"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Quant. Estimada</w:t>
            </w:r>
          </w:p>
        </w:tc>
        <w:tc>
          <w:tcPr>
            <w:tcW w:w="1485" w:type="dxa"/>
            <w:shd w:val="clear" w:color="auto" w:fill="A6A6A6"/>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Valor Unitário Máximo</w:t>
            </w:r>
          </w:p>
        </w:tc>
        <w:tc>
          <w:tcPr>
            <w:tcW w:w="1710" w:type="dxa"/>
            <w:shd w:val="clear" w:color="auto" w:fill="A6A6A6"/>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Valor Total Máximo</w:t>
            </w:r>
          </w:p>
        </w:tc>
      </w:tr>
      <w:tr w:rsidR="002E5C8A">
        <w:trPr>
          <w:trHeight w:val="223"/>
          <w:jc w:val="center"/>
        </w:trPr>
        <w:tc>
          <w:tcPr>
            <w:tcW w:w="705"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690"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3660" w:type="dxa"/>
            <w:tcBorders>
              <w:bottom w:val="single" w:sz="4" w:space="0" w:color="000000"/>
            </w:tcBorders>
          </w:tcPr>
          <w:p w:rsidR="002E5C8A" w:rsidRDefault="00EB1172">
            <w:pPr>
              <w:spacing w:before="120"/>
              <w:jc w:val="both"/>
              <w:rPr>
                <w:rFonts w:ascii="Arial" w:eastAsia="Arial" w:hAnsi="Arial" w:cs="Arial"/>
                <w:sz w:val="24"/>
                <w:szCs w:val="24"/>
              </w:rPr>
            </w:pPr>
            <w:proofErr w:type="spellStart"/>
            <w:r>
              <w:rPr>
                <w:rFonts w:ascii="Arial" w:eastAsia="Arial" w:hAnsi="Arial" w:cs="Arial"/>
                <w:b/>
                <w:sz w:val="24"/>
                <w:szCs w:val="24"/>
              </w:rPr>
              <w:t>Nobreak</w:t>
            </w:r>
            <w:proofErr w:type="spellEnd"/>
            <w:r>
              <w:rPr>
                <w:rFonts w:ascii="Arial" w:eastAsia="Arial" w:hAnsi="Arial" w:cs="Arial"/>
                <w:b/>
                <w:sz w:val="24"/>
                <w:szCs w:val="24"/>
              </w:rPr>
              <w:t xml:space="preserve"> 3000VA</w:t>
            </w:r>
            <w:r>
              <w:rPr>
                <w:rFonts w:ascii="Arial" w:eastAsia="Arial" w:hAnsi="Arial" w:cs="Arial"/>
                <w:sz w:val="24"/>
                <w:szCs w:val="24"/>
              </w:rPr>
              <w:t xml:space="preserve"> com entrada bivolt </w:t>
            </w:r>
            <w:proofErr w:type="gramStart"/>
            <w:r>
              <w:rPr>
                <w:rFonts w:ascii="Arial" w:eastAsia="Arial" w:hAnsi="Arial" w:cs="Arial"/>
                <w:sz w:val="24"/>
                <w:szCs w:val="24"/>
              </w:rPr>
              <w:t>127V</w:t>
            </w:r>
            <w:proofErr w:type="gramEnd"/>
            <w:r>
              <w:rPr>
                <w:rFonts w:ascii="Arial" w:eastAsia="Arial" w:hAnsi="Arial" w:cs="Arial"/>
                <w:sz w:val="24"/>
                <w:szCs w:val="24"/>
              </w:rPr>
              <w:t xml:space="preserve">/220V, com placa de gerenciamento para controle e monitoramento   remoto   do   </w:t>
            </w:r>
            <w:proofErr w:type="spellStart"/>
            <w:r>
              <w:rPr>
                <w:rFonts w:ascii="Arial" w:eastAsia="Arial" w:hAnsi="Arial" w:cs="Arial"/>
                <w:sz w:val="24"/>
                <w:szCs w:val="24"/>
              </w:rPr>
              <w:t>nobreak</w:t>
            </w:r>
            <w:proofErr w:type="spellEnd"/>
            <w:r>
              <w:rPr>
                <w:rFonts w:ascii="Arial" w:eastAsia="Arial" w:hAnsi="Arial" w:cs="Arial"/>
                <w:sz w:val="24"/>
                <w:szCs w:val="24"/>
              </w:rPr>
              <w:t xml:space="preserve">   conectado   diretamente   à   rede   de   dados, em conformidade com os requisitos deste Termo de Referência.</w:t>
            </w:r>
          </w:p>
        </w:tc>
        <w:tc>
          <w:tcPr>
            <w:tcW w:w="1200" w:type="dxa"/>
            <w:tcBorders>
              <w:bottom w:val="single" w:sz="4" w:space="0" w:color="000000"/>
            </w:tcBorders>
            <w:vAlign w:val="center"/>
          </w:tcPr>
          <w:p w:rsidR="002E5C8A" w:rsidRDefault="00EB1172">
            <w:pPr>
              <w:spacing w:before="120"/>
              <w:jc w:val="center"/>
              <w:rPr>
                <w:rFonts w:ascii="Arial" w:eastAsia="Arial" w:hAnsi="Arial" w:cs="Arial"/>
                <w:sz w:val="24"/>
                <w:szCs w:val="24"/>
              </w:rPr>
            </w:pPr>
            <w:r>
              <w:rPr>
                <w:rFonts w:ascii="Arial" w:eastAsia="Arial" w:hAnsi="Arial" w:cs="Arial"/>
                <w:sz w:val="24"/>
                <w:szCs w:val="24"/>
              </w:rPr>
              <w:t>50 unidades</w:t>
            </w:r>
          </w:p>
        </w:tc>
        <w:tc>
          <w:tcPr>
            <w:tcW w:w="1485"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R$ 6.531,07</w:t>
            </w:r>
          </w:p>
        </w:tc>
        <w:tc>
          <w:tcPr>
            <w:tcW w:w="1710"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R$ 326.553,50</w:t>
            </w:r>
          </w:p>
        </w:tc>
      </w:tr>
    </w:tbl>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objeto deve possuir topologia do tipo senoidal puro de alto desempenho, projetados para a proteção de switches, roteadores, estações de trabalho, circuitos de segurança, centrais telefônicas e demais equipamentos que utilizem fontes com PFC ativo necessitando de energia de qualidade, protegida contra variações e distúrbios na rede elétrica.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As quantidades previstas pela Administração são meramente estimativas, definidas em função de consumo e utilização provável, nos termos do inc. II do § 7º do art. 15 da Lei nº 8.666/93. A contratação obedecerá </w:t>
      </w:r>
      <w:proofErr w:type="gramStart"/>
      <w:r>
        <w:rPr>
          <w:rFonts w:ascii="Arial" w:eastAsia="Arial" w:hAnsi="Arial" w:cs="Arial"/>
          <w:sz w:val="24"/>
          <w:szCs w:val="24"/>
        </w:rPr>
        <w:t>às necessidades e demandas concretas da DPE/PR, sendo devidos à CONTRATADA os pagamentos referentes e relacionados, apenas, aos serviços/materiais efetivamente prestados/fornecidos, segundo as normas e condições fixadas neste instrumento</w:t>
      </w:r>
      <w:proofErr w:type="gramEnd"/>
      <w:r>
        <w:rPr>
          <w:rFonts w:ascii="Arial" w:eastAsia="Arial" w:hAnsi="Arial" w:cs="Arial"/>
          <w:sz w:val="24"/>
          <w:szCs w:val="24"/>
        </w:rPr>
        <w:t>.</w:t>
      </w: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lastRenderedPageBreak/>
        <w:t>Características mínimas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Potência: 3000VA / </w:t>
      </w:r>
      <w:proofErr w:type="gramStart"/>
      <w:r>
        <w:rPr>
          <w:rFonts w:ascii="Arial" w:eastAsia="Arial" w:hAnsi="Arial" w:cs="Arial"/>
          <w:sz w:val="24"/>
          <w:szCs w:val="24"/>
        </w:rPr>
        <w:t>2100W</w:t>
      </w:r>
      <w:proofErr w:type="gramEnd"/>
      <w:r>
        <w:rPr>
          <w:rFonts w:ascii="Arial" w:eastAsia="Arial" w:hAnsi="Arial" w:cs="Arial"/>
          <w:sz w:val="24"/>
          <w:szCs w:val="24"/>
        </w:rPr>
        <w:t>;</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Fator de potência mínimo: 0,7;</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Microprocessado;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Pode ser ligado mesmo na ausência da rede elétrica;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Estabilizador interno de tensão: estabiliza a tensão de saída;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Recarga automática das baterias;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Botão Liga / Desliga temporizado, prevenindo desligamentos acidentais;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Inversor sincronizado com a rede elétrica;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Ruído audível (a 1 metro da superfície da unidade) de no máximo55dBA;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Conector para módulo de baterias externas: possibilita aumento da autonomia;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Proteção contra descarga total da bateria;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Rendimento mínimo a plena carga: 90%;</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Alarmes sonoros: funcionamento em bateria, pouca bateria e de sobrecarga;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Display de LED de status: online, em bateria e níveis de carga da bateria;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Placa de rede (Network </w:t>
      </w:r>
      <w:proofErr w:type="spellStart"/>
      <w:r>
        <w:rPr>
          <w:rFonts w:ascii="Arial" w:eastAsia="Arial" w:hAnsi="Arial" w:cs="Arial"/>
          <w:sz w:val="24"/>
          <w:szCs w:val="24"/>
        </w:rPr>
        <w:t>Card</w:t>
      </w:r>
      <w:proofErr w:type="spellEnd"/>
      <w:r>
        <w:rPr>
          <w:rFonts w:ascii="Arial" w:eastAsia="Arial" w:hAnsi="Arial" w:cs="Arial"/>
          <w:sz w:val="24"/>
          <w:szCs w:val="24"/>
        </w:rPr>
        <w:t xml:space="preserve">) com firmware atualizável, permitindo conectar o </w:t>
      </w:r>
      <w:proofErr w:type="spellStart"/>
      <w:r>
        <w:rPr>
          <w:rFonts w:ascii="Arial" w:eastAsia="Arial" w:hAnsi="Arial" w:cs="Arial"/>
          <w:sz w:val="24"/>
          <w:szCs w:val="24"/>
        </w:rPr>
        <w:t>nobreak</w:t>
      </w:r>
      <w:proofErr w:type="spellEnd"/>
      <w:r>
        <w:rPr>
          <w:rFonts w:ascii="Arial" w:eastAsia="Arial" w:hAnsi="Arial" w:cs="Arial"/>
          <w:sz w:val="24"/>
          <w:szCs w:val="24"/>
        </w:rPr>
        <w:t xml:space="preserve"> diretamente à rede local;</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A placa de rede deve permitir o gerenciamento remoto, monitoria e acesso em tempo real </w:t>
      </w:r>
      <w:proofErr w:type="gramStart"/>
      <w:r>
        <w:rPr>
          <w:rFonts w:ascii="Arial" w:eastAsia="Arial" w:hAnsi="Arial" w:cs="Arial"/>
          <w:sz w:val="24"/>
          <w:szCs w:val="24"/>
        </w:rPr>
        <w:t>as</w:t>
      </w:r>
      <w:proofErr w:type="gramEnd"/>
      <w:r>
        <w:rPr>
          <w:rFonts w:ascii="Arial" w:eastAsia="Arial" w:hAnsi="Arial" w:cs="Arial"/>
          <w:sz w:val="24"/>
          <w:szCs w:val="24"/>
        </w:rPr>
        <w:t xml:space="preserve"> condições da rede elétrica e informações de operação do </w:t>
      </w:r>
      <w:proofErr w:type="spellStart"/>
      <w:r>
        <w:rPr>
          <w:rFonts w:ascii="Arial" w:eastAsia="Arial" w:hAnsi="Arial" w:cs="Arial"/>
          <w:sz w:val="24"/>
          <w:szCs w:val="24"/>
        </w:rPr>
        <w:t>nobreak</w:t>
      </w:r>
      <w:proofErr w:type="spellEnd"/>
      <w:r>
        <w:rPr>
          <w:rFonts w:ascii="Arial" w:eastAsia="Arial" w:hAnsi="Arial" w:cs="Arial"/>
          <w:sz w:val="24"/>
          <w:szCs w:val="24"/>
        </w:rPr>
        <w:t>.</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Entrada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Tensão nominal: bivolt </w:t>
      </w:r>
      <w:proofErr w:type="gramStart"/>
      <w:r>
        <w:rPr>
          <w:rFonts w:ascii="Arial" w:eastAsia="Arial" w:hAnsi="Arial" w:cs="Arial"/>
          <w:sz w:val="24"/>
          <w:szCs w:val="24"/>
        </w:rPr>
        <w:t>127V</w:t>
      </w:r>
      <w:proofErr w:type="gramEnd"/>
      <w:r>
        <w:rPr>
          <w:rFonts w:ascii="Arial" w:eastAsia="Arial" w:hAnsi="Arial" w:cs="Arial"/>
          <w:sz w:val="24"/>
          <w:szCs w:val="24"/>
        </w:rPr>
        <w:t>/220V;</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Variação máxima de tensão: </w:t>
      </w:r>
      <w:proofErr w:type="gramStart"/>
      <w:r>
        <w:rPr>
          <w:rFonts w:ascii="Arial" w:eastAsia="Arial" w:hAnsi="Arial" w:cs="Arial"/>
          <w:sz w:val="24"/>
          <w:szCs w:val="24"/>
        </w:rPr>
        <w:t>90V</w:t>
      </w:r>
      <w:proofErr w:type="gramEnd"/>
      <w:r>
        <w:rPr>
          <w:rFonts w:ascii="Arial" w:eastAsia="Arial" w:hAnsi="Arial" w:cs="Arial"/>
          <w:sz w:val="24"/>
          <w:szCs w:val="24"/>
        </w:rPr>
        <w:t>–140V / 180V-250V;</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Frequência nominal: 60 Hz;</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Padrão de tomada: 2P+T 20A NBR 14136;</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Cabo de alimentação: comprimento mínimo 1,5 metros.</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lastRenderedPageBreak/>
        <w:t>Saída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Tensão nominal: </w:t>
      </w:r>
      <w:proofErr w:type="gramStart"/>
      <w:r>
        <w:rPr>
          <w:rFonts w:ascii="Arial" w:eastAsia="Arial" w:hAnsi="Arial" w:cs="Arial"/>
          <w:sz w:val="24"/>
          <w:szCs w:val="24"/>
        </w:rPr>
        <w:t>127V</w:t>
      </w:r>
      <w:proofErr w:type="gramEnd"/>
      <w:r>
        <w:rPr>
          <w:rFonts w:ascii="Arial" w:eastAsia="Arial" w:hAnsi="Arial" w:cs="Arial"/>
          <w:sz w:val="24"/>
          <w:szCs w:val="24"/>
        </w:rPr>
        <w:t>;</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Forma de onda no inversor: senoidal pura;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Conexões: Mínimo de </w:t>
      </w:r>
      <w:proofErr w:type="gramStart"/>
      <w:r>
        <w:rPr>
          <w:rFonts w:ascii="Arial" w:eastAsia="Arial" w:hAnsi="Arial" w:cs="Arial"/>
          <w:sz w:val="24"/>
          <w:szCs w:val="24"/>
        </w:rPr>
        <w:t>8</w:t>
      </w:r>
      <w:proofErr w:type="gramEnd"/>
      <w:r>
        <w:rPr>
          <w:rFonts w:ascii="Arial" w:eastAsia="Arial" w:hAnsi="Arial" w:cs="Arial"/>
          <w:sz w:val="24"/>
          <w:szCs w:val="24"/>
        </w:rPr>
        <w:t xml:space="preserve"> Tomadas 2P+T padrão NBR14136 + Borne ou conector para banco de baterias externo.</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Bateria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Tipo de bateria: selada regulada por válvula VRLA;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Quantidade mínima: </w:t>
      </w:r>
      <w:proofErr w:type="gramStart"/>
      <w:r>
        <w:rPr>
          <w:rFonts w:ascii="Arial" w:eastAsia="Arial" w:hAnsi="Arial" w:cs="Arial"/>
          <w:sz w:val="24"/>
          <w:szCs w:val="24"/>
        </w:rPr>
        <w:t>4</w:t>
      </w:r>
      <w:proofErr w:type="gramEnd"/>
      <w:r>
        <w:rPr>
          <w:rFonts w:ascii="Arial" w:eastAsia="Arial" w:hAnsi="Arial" w:cs="Arial"/>
          <w:sz w:val="24"/>
          <w:szCs w:val="24"/>
        </w:rPr>
        <w:t>;</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Tempo </w:t>
      </w:r>
      <w:proofErr w:type="gramStart"/>
      <w:r>
        <w:rPr>
          <w:rFonts w:ascii="Arial" w:eastAsia="Arial" w:hAnsi="Arial" w:cs="Arial"/>
          <w:sz w:val="24"/>
          <w:szCs w:val="24"/>
        </w:rPr>
        <w:t>recarga aproximado</w:t>
      </w:r>
      <w:proofErr w:type="gramEnd"/>
      <w:r>
        <w:rPr>
          <w:rFonts w:ascii="Arial" w:eastAsia="Arial" w:hAnsi="Arial" w:cs="Arial"/>
          <w:sz w:val="24"/>
          <w:szCs w:val="24"/>
        </w:rPr>
        <w:t xml:space="preserve"> (baterias internas): até 10 horas;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Tensão nominal mínima do banco interno (</w:t>
      </w:r>
      <w:proofErr w:type="spellStart"/>
      <w:r>
        <w:rPr>
          <w:rFonts w:ascii="Arial" w:eastAsia="Arial" w:hAnsi="Arial" w:cs="Arial"/>
          <w:sz w:val="24"/>
          <w:szCs w:val="24"/>
        </w:rPr>
        <w:t>Vcc</w:t>
      </w:r>
      <w:proofErr w:type="spellEnd"/>
      <w:r>
        <w:rPr>
          <w:rFonts w:ascii="Arial" w:eastAsia="Arial" w:hAnsi="Arial" w:cs="Arial"/>
          <w:sz w:val="24"/>
          <w:szCs w:val="24"/>
        </w:rPr>
        <w:t>): 48;</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Quantidade mínima de bancos de baterias externos suportados: </w:t>
      </w:r>
      <w:proofErr w:type="gramStart"/>
      <w:r>
        <w:rPr>
          <w:rFonts w:ascii="Arial" w:eastAsia="Arial" w:hAnsi="Arial" w:cs="Arial"/>
          <w:sz w:val="24"/>
          <w:szCs w:val="24"/>
        </w:rPr>
        <w:t>1</w:t>
      </w:r>
      <w:proofErr w:type="gramEnd"/>
      <w:r>
        <w:rPr>
          <w:rFonts w:ascii="Arial" w:eastAsia="Arial" w:hAnsi="Arial" w:cs="Arial"/>
          <w:sz w:val="24"/>
          <w:szCs w:val="24"/>
        </w:rPr>
        <w:t>.</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Gerenciamento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Via porta USB;</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Via porta Serial;</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Via placa de rede (Network Management </w:t>
      </w:r>
      <w:proofErr w:type="spellStart"/>
      <w:r>
        <w:rPr>
          <w:rFonts w:ascii="Arial" w:eastAsia="Arial" w:hAnsi="Arial" w:cs="Arial"/>
          <w:sz w:val="24"/>
          <w:szCs w:val="24"/>
        </w:rPr>
        <w:t>Card</w:t>
      </w:r>
      <w:proofErr w:type="spellEnd"/>
      <w:r>
        <w:rPr>
          <w:rFonts w:ascii="Arial" w:eastAsia="Arial" w:hAnsi="Arial" w:cs="Arial"/>
          <w:sz w:val="24"/>
          <w:szCs w:val="24"/>
        </w:rPr>
        <w:t>);</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Gerenciamento acessível via navegador (browser);</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Acesso seguro através de HTTPS/SSL ou SSH (criptografia).</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Monitoramento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Permite o monitoramento remoto através de uma conexão direta com a rede;</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Suporte ao protocolo SNMP;</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Compatível com Standard UPS RFC 1628 MIB;</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Permite a notificação de falhas em tempo real.</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Acessórios / Conteúdo da embalagem</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Cabo USB ou Serial;</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lastRenderedPageBreak/>
        <w:t>Manual impresso em português;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Termo de garantia em português.</w:t>
      </w:r>
    </w:p>
    <w:p w:rsidR="002E5C8A" w:rsidRDefault="002E5C8A">
      <w:pPr>
        <w:spacing w:before="120" w:line="276" w:lineRule="auto"/>
        <w:jc w:val="both"/>
        <w:rPr>
          <w:rFonts w:ascii="Arial" w:eastAsia="Arial" w:hAnsi="Arial" w:cs="Arial"/>
          <w:sz w:val="24"/>
          <w:szCs w:val="24"/>
        </w:rPr>
      </w:pPr>
    </w:p>
    <w:p w:rsidR="002E5C8A" w:rsidRDefault="00EB1172">
      <w:pPr>
        <w:numPr>
          <w:ilvl w:val="1"/>
          <w:numId w:val="1"/>
        </w:numPr>
        <w:spacing w:before="120" w:line="276" w:lineRule="auto"/>
        <w:jc w:val="both"/>
        <w:rPr>
          <w:b/>
          <w:sz w:val="24"/>
          <w:szCs w:val="24"/>
        </w:rPr>
      </w:pPr>
      <w:r>
        <w:rPr>
          <w:rFonts w:ascii="Arial" w:eastAsia="Arial" w:hAnsi="Arial" w:cs="Arial"/>
          <w:b/>
          <w:sz w:val="24"/>
          <w:szCs w:val="24"/>
        </w:rPr>
        <w:t>Garantia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Mínima de </w:t>
      </w:r>
      <w:proofErr w:type="gramStart"/>
      <w:r>
        <w:rPr>
          <w:rFonts w:ascii="Arial" w:eastAsia="Arial" w:hAnsi="Arial" w:cs="Arial"/>
          <w:sz w:val="24"/>
          <w:szCs w:val="24"/>
        </w:rPr>
        <w:t>1</w:t>
      </w:r>
      <w:proofErr w:type="gramEnd"/>
      <w:r>
        <w:rPr>
          <w:rFonts w:ascii="Arial" w:eastAsia="Arial" w:hAnsi="Arial" w:cs="Arial"/>
          <w:sz w:val="24"/>
          <w:szCs w:val="24"/>
        </w:rPr>
        <w:t>(um) ano de garantia para o produto;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Mínima de </w:t>
      </w:r>
      <w:proofErr w:type="gramStart"/>
      <w:r>
        <w:rPr>
          <w:rFonts w:ascii="Arial" w:eastAsia="Arial" w:hAnsi="Arial" w:cs="Arial"/>
          <w:sz w:val="24"/>
          <w:szCs w:val="24"/>
        </w:rPr>
        <w:t>1</w:t>
      </w:r>
      <w:proofErr w:type="gramEnd"/>
      <w:r>
        <w:rPr>
          <w:rFonts w:ascii="Arial" w:eastAsia="Arial" w:hAnsi="Arial" w:cs="Arial"/>
          <w:sz w:val="24"/>
          <w:szCs w:val="24"/>
        </w:rPr>
        <w:t xml:space="preserve"> (um) ano para as baterias;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Acionamento via e-mail, </w:t>
      </w:r>
      <w:proofErr w:type="spellStart"/>
      <w:r>
        <w:rPr>
          <w:rFonts w:ascii="Arial" w:eastAsia="Arial" w:hAnsi="Arial" w:cs="Arial"/>
          <w:sz w:val="24"/>
          <w:szCs w:val="24"/>
        </w:rPr>
        <w:t>website</w:t>
      </w:r>
      <w:proofErr w:type="spellEnd"/>
      <w:r>
        <w:rPr>
          <w:rFonts w:ascii="Arial" w:eastAsia="Arial" w:hAnsi="Arial" w:cs="Arial"/>
          <w:sz w:val="24"/>
          <w:szCs w:val="24"/>
        </w:rPr>
        <w:t>, telefone 0800 ou balcão através de rede de assistência técnica autorizada no Estado do Paraná;</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A garantia deve abranger troca do produto, troca de peças ou componentes defeituosos, bem como a mão de obra aplicada;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O modelo do equipamento ofertado deve estar em linha de produção, na data de entrega da proposta;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O fabricante deve garantir a disponibilidade de peças pelo período mínimo de </w:t>
      </w:r>
      <w:proofErr w:type="gramStart"/>
      <w:r>
        <w:rPr>
          <w:rFonts w:ascii="Arial" w:eastAsia="Arial" w:hAnsi="Arial" w:cs="Arial"/>
          <w:sz w:val="24"/>
          <w:szCs w:val="24"/>
        </w:rPr>
        <w:t>5</w:t>
      </w:r>
      <w:proofErr w:type="gramEnd"/>
      <w:r>
        <w:rPr>
          <w:rFonts w:ascii="Arial" w:eastAsia="Arial" w:hAnsi="Arial" w:cs="Arial"/>
          <w:sz w:val="24"/>
          <w:szCs w:val="24"/>
        </w:rPr>
        <w:t xml:space="preserve"> (cinco) anos a contar da descontinuidade da fabricação do produto;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O modelo ofertado deve propiciar a troca de baterias pela equipe técnica do Departamento de Informática desta Defensoria (após o fim do período de garantia das baterias), sem que haja a necessidade de ajustes ou calibração (pelo fabricante/assistência técnica autorizada) para o correto funcionamento e sem que haja prejuízo ao período de garantia do equipamento (nos casos onde o período de garantia da bateria for inferior ao do equipamento).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Os requisitos</w:t>
      </w:r>
      <w:proofErr w:type="gramStart"/>
      <w:r>
        <w:rPr>
          <w:rFonts w:ascii="Arial" w:eastAsia="Arial" w:hAnsi="Arial" w:cs="Arial"/>
          <w:sz w:val="24"/>
          <w:szCs w:val="24"/>
        </w:rPr>
        <w:t>, podem</w:t>
      </w:r>
      <w:proofErr w:type="gramEnd"/>
      <w:r>
        <w:rPr>
          <w:rFonts w:ascii="Arial" w:eastAsia="Arial" w:hAnsi="Arial" w:cs="Arial"/>
          <w:sz w:val="24"/>
          <w:szCs w:val="24"/>
        </w:rPr>
        <w:t xml:space="preserve"> ser comprovados por meio de catálogos, manuais e </w:t>
      </w:r>
      <w:proofErr w:type="spellStart"/>
      <w:r>
        <w:rPr>
          <w:rFonts w:ascii="Arial" w:eastAsia="Arial" w:hAnsi="Arial" w:cs="Arial"/>
          <w:sz w:val="24"/>
          <w:szCs w:val="24"/>
        </w:rPr>
        <w:t>datasheets</w:t>
      </w:r>
      <w:proofErr w:type="spellEnd"/>
      <w:r>
        <w:rPr>
          <w:rFonts w:ascii="Arial" w:eastAsia="Arial" w:hAnsi="Arial" w:cs="Arial"/>
          <w:sz w:val="24"/>
          <w:szCs w:val="24"/>
        </w:rPr>
        <w:t xml:space="preserve"> que estejam disponíveis para consulta no site do fabricante, sendo aceito cópias de certificados de compatibilidade com normas.</w:t>
      </w:r>
    </w:p>
    <w:p w:rsidR="002E5C8A" w:rsidRDefault="002E5C8A">
      <w:pPr>
        <w:spacing w:before="120" w:line="276" w:lineRule="auto"/>
        <w:jc w:val="both"/>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DAS CONDIÇÕES GERAIS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De acordo com o inciso II do Artigo 29 da Lei 8.666/93, a CONTRATADA deverá ser de ramo de atividade compatível com o objeto da licitação.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objeto deve prever a continuidade de fornecimento de energia, por tempo limitado (de acordo com a carga aplicada ao mesmo e ao nível de bateria disponível), a equipamentos nele conectados, permitindo tempo para a realização de ações de desligamento adequado de equipamentos e sistemas, minimizando a ocorrência de danos a ativos e perda de dados.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lastRenderedPageBreak/>
        <w:t xml:space="preserve">Deve prever a conexão do equipamento à rede (deve possuir interface de rede ethernet), possibilitando acesso suas informações e condições de uso através da rede, possibilitando ações corretivas e manutenções programadas, para que sempre que necessário, o objeto possa entrar em operação e atuar conforme a expectativa. </w:t>
      </w:r>
    </w:p>
    <w:p w:rsidR="002E5C8A" w:rsidRDefault="00EB1172">
      <w:pPr>
        <w:numPr>
          <w:ilvl w:val="1"/>
          <w:numId w:val="1"/>
        </w:numPr>
        <w:spacing w:before="120" w:line="276" w:lineRule="auto"/>
        <w:jc w:val="both"/>
        <w:rPr>
          <w:color w:val="FF0000"/>
          <w:sz w:val="24"/>
          <w:szCs w:val="24"/>
        </w:rPr>
      </w:pPr>
      <w:r>
        <w:rPr>
          <w:rFonts w:ascii="Arial" w:eastAsia="Arial" w:hAnsi="Arial" w:cs="Arial"/>
          <w:sz w:val="24"/>
          <w:szCs w:val="24"/>
        </w:rPr>
        <w:t>Deve ser possível coletar dados do objeto através de software de monitoramento, capaz de prover informações que permitam ao Departamento de Informática a visualização de alarmes e notificações geradas por todos os equipamentos, de modo que seja possível subsidiar as ações técnicas.</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objeto deve vir acompanhado de manual de instruções, em português, contemplando a descrição da operação básica do mesmo.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fabricante deve manter disponível para acesso documentação técnica, FAQ, atualizações de firmware, </w:t>
      </w:r>
      <w:proofErr w:type="spellStart"/>
      <w:r>
        <w:rPr>
          <w:rFonts w:ascii="Arial" w:eastAsia="Arial" w:hAnsi="Arial" w:cs="Arial"/>
          <w:sz w:val="24"/>
          <w:szCs w:val="24"/>
        </w:rPr>
        <w:t>mibs</w:t>
      </w:r>
      <w:proofErr w:type="spellEnd"/>
      <w:r>
        <w:rPr>
          <w:rFonts w:ascii="Arial" w:eastAsia="Arial" w:hAnsi="Arial" w:cs="Arial"/>
          <w:sz w:val="24"/>
          <w:szCs w:val="24"/>
        </w:rPr>
        <w:t xml:space="preserve"> e especificações do produto, bem como prover de um canal para suporte técnico à DPE/PR.</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fabricante deve prover documentação sobre o uso de software próprio para monitoramento e gestão do </w:t>
      </w:r>
      <w:proofErr w:type="gramStart"/>
      <w:r>
        <w:rPr>
          <w:rFonts w:ascii="Arial" w:eastAsia="Arial" w:hAnsi="Arial" w:cs="Arial"/>
          <w:sz w:val="24"/>
          <w:szCs w:val="24"/>
        </w:rPr>
        <w:t>objeto, bem como procedimentos relativos às configurações que permitam a monitoria por softwares externos, baseados em coletas através do protocolo SNMP</w:t>
      </w:r>
      <w:proofErr w:type="gramEnd"/>
      <w:r>
        <w:rPr>
          <w:rFonts w:ascii="Arial" w:eastAsia="Arial" w:hAnsi="Arial" w:cs="Arial"/>
          <w:sz w:val="24"/>
          <w:szCs w:val="24"/>
        </w:rPr>
        <w:t xml:space="preserve">. Deve, ainda, prover de canal para suporte técnico de forma a viabilizar 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e pleno uso dos recursos e funcionalidades na monitoria do objeto.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fabricante deve prover informação sobre opções de reciclagem do objeto ao final de sua vida útil, indicando o correto tratamento no descarte de resíduos e/ou reciclagem de equipamentos eletrônicos.</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fabricante deve possuir programa ambiental que fornece informações sobre o impacto ambiental do produto e matérias primas, referenciando o uso mínimo de substâncias químicas nocivas à saúde humana e ao meio ambiente.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objeto deve vir acompanhado termo de garantia, constando número telefônico, endereço eletrônico e/ou </w:t>
      </w:r>
      <w:proofErr w:type="spellStart"/>
      <w:r>
        <w:rPr>
          <w:rFonts w:ascii="Arial" w:eastAsia="Arial" w:hAnsi="Arial" w:cs="Arial"/>
          <w:sz w:val="24"/>
          <w:szCs w:val="24"/>
        </w:rPr>
        <w:t>website</w:t>
      </w:r>
      <w:proofErr w:type="spellEnd"/>
      <w:r>
        <w:rPr>
          <w:rFonts w:ascii="Arial" w:eastAsia="Arial" w:hAnsi="Arial" w:cs="Arial"/>
          <w:sz w:val="24"/>
          <w:szCs w:val="24"/>
        </w:rPr>
        <w:t xml:space="preserve"> para abertura de chamados, possibilitando fácil acesso a assistência técnica na modalidade contratada durante o período de garantia. O objeto deve conter número de série e data estimada de fabricação.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Requisitos de segurança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O objeto deve possuir plugues e tomadas tripolares (2P+T) em concordância com a vigente norma da NBR 14136 da Associação Brasileira de Normas Técnicas.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O objeto deve possuir baterias seladas para evitar vazamento de eletrólito durante movimentação/transporte.</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lastRenderedPageBreak/>
        <w:t>O objeto deve dispor de sistema de proteção que impede sua energização durante o transporte/manutenção.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O objeto deve dispor de acesso (via rede) à interface de gerenciamento de forma segura.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Os produtos devem ser novos, de primeiro uso, sem a presença de vícios e entregues em embalagens lacradas, sem custo adicional para a DPE/PR.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Não serão aceitos produtos em desacordo com as especificações técnicas contidas neste Termo de Referência, salvo se de melhor qualidade.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A CONTRATADA responsabilizar-se-á por todo e qualquer encargo trabalhista de seus empregados, bem como pelo correto cumprimento de sua jornada e por acidentes ocorridos no exercício da atividade.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Caso seja constatada desconformidade do(s) produto(s) apresentado(s) em relação às especificações do(s) objeto(s) ou à(s) amostra(s) aprovada(s) pela DPE/PR, a CONTRATADA deverá efetuar a troca do(s) produto(s), no prazo de 10 (dez) dias, a contar do recebimento da solicitação, sem ônus adicional.</w:t>
      </w:r>
    </w:p>
    <w:p w:rsidR="002E5C8A" w:rsidRDefault="002E5C8A">
      <w:pPr>
        <w:spacing w:before="120" w:after="120" w:line="276" w:lineRule="auto"/>
        <w:rPr>
          <w:rFonts w:ascii="Calibri" w:eastAsia="Calibri" w:hAnsi="Calibri" w:cs="Calibri"/>
          <w:sz w:val="22"/>
          <w:szCs w:val="22"/>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 ENTREGA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Caberá a CONTRATADA a entrega do equipamento, nas quantidades solicitadas pela DPE/PR em qualquer uma das cidades abaixo: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Paranaguá, Guaratuba, São José dos Pinhais, Colombo, Maringá, Londrina, Ponta Grossa, Castro, Foz do Iguaçu, Cascavel, Guarapuava, União da Vitória, Cornélio Procópio, </w:t>
      </w:r>
      <w:proofErr w:type="spellStart"/>
      <w:r>
        <w:rPr>
          <w:rFonts w:ascii="Arial" w:eastAsia="Arial" w:hAnsi="Arial" w:cs="Arial"/>
          <w:sz w:val="24"/>
          <w:szCs w:val="24"/>
        </w:rPr>
        <w:t>Cianorte</w:t>
      </w:r>
      <w:proofErr w:type="spellEnd"/>
      <w:r>
        <w:rPr>
          <w:rFonts w:ascii="Arial" w:eastAsia="Arial" w:hAnsi="Arial" w:cs="Arial"/>
          <w:sz w:val="24"/>
          <w:szCs w:val="24"/>
        </w:rPr>
        <w:t>, Umuarama, Francisco Beltrão, Campo Mourão, Curitiba, Apucarana e Pato Branco.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Caberá à DPE/PR solicitar os produtos à CONTRATADA, definindo o local de entrega e a quantidade para cada uma das sedes;</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Caberá à CONTRATADA, por ocasião da entrega, o transporte do(s) equipamento(s) para o local definido, dentro das instalações da sede da DPE/PR alvo da entrega.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O objeto deve ser entregue em até 30 (trinta) dias corridos contados de comunicação da DPE/PR, nos locais indicados. </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Este prazo somente poderá ser dilatado, a critério exclusivo da DPE/PR, mediante solicitação formal da empresa, dentro do prazo e com motivação fundamentada pela CONTRATADA.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lastRenderedPageBreak/>
        <w:t>O requerimento de prorrogação do prazo de entrega não interrompe a contagem do prazo inicialmente estipulado.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A entrega deverá ocorrer em dia útil (previamente acordado com o responsável), em horário das 10h às 16h, ou conforme especificado.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recebimento do objeto ficará a cargo do DIF (Departamento de Informática) da DPE/PR.</w:t>
      </w:r>
    </w:p>
    <w:p w:rsidR="002E5C8A" w:rsidRDefault="002E5C8A">
      <w:pPr>
        <w:spacing w:before="120" w:after="120" w:line="276" w:lineRule="auto"/>
        <w:rPr>
          <w:rFonts w:ascii="Calibri" w:eastAsia="Calibri" w:hAnsi="Calibri" w:cs="Calibri"/>
          <w:sz w:val="22"/>
          <w:szCs w:val="22"/>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PRAZO DE VIGÊNCIA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prazo de vigência da Ata de Registro de Preços será de 12 (doze) meses (excluído o dia do termo final), contados da sua publicação no Departamento de Imprensa Oficial do Estado do Paraná (DIOE), prorrogável na forma do artigo 103 da Lei Estadual n° 15.608/2007.</w:t>
      </w:r>
    </w:p>
    <w:p w:rsidR="002E5C8A" w:rsidRDefault="002E5C8A">
      <w:pPr>
        <w:spacing w:before="120" w:line="276" w:lineRule="auto"/>
        <w:jc w:val="both"/>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DOS CRITÉRIOS DE SUSTENTABILIDADE</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De acordo com o Art. 48 do Decreto Estadual </w:t>
      </w:r>
      <w:proofErr w:type="gramStart"/>
      <w:r>
        <w:rPr>
          <w:rFonts w:ascii="Arial" w:eastAsia="Arial" w:hAnsi="Arial" w:cs="Arial"/>
          <w:sz w:val="24"/>
          <w:szCs w:val="24"/>
        </w:rPr>
        <w:t>no 4993</w:t>
      </w:r>
      <w:proofErr w:type="gramEnd"/>
      <w:r>
        <w:rPr>
          <w:rFonts w:ascii="Arial" w:eastAsia="Arial" w:hAnsi="Arial" w:cs="Arial"/>
          <w:sz w:val="24"/>
          <w:szCs w:val="24"/>
        </w:rPr>
        <w:t>, de 31 de agosto de 2016, as empresas contratadas adotarão as seguintes práticas de sustentabilidade, quando couber: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I - Que os bens sejam constituídos, no todo ou em parte, por material reciclado, atóxico, biodegradável, conforme normas específicas da ABNT;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II - Que sejam observados os requisitos ambientais para a obtenção de certificação do Instituto Nacional de Metrologia, Normalização e Qualidade Industrial – INMETRO, como produtos sustentáveis ou de menor impacto ambiental em relação aos seus similares;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III - Que os bens devam </w:t>
      </w:r>
      <w:proofErr w:type="gramStart"/>
      <w:r>
        <w:rPr>
          <w:rFonts w:ascii="Arial" w:eastAsia="Arial" w:hAnsi="Arial" w:cs="Arial"/>
          <w:sz w:val="24"/>
          <w:szCs w:val="24"/>
        </w:rPr>
        <w:t>ser,</w:t>
      </w:r>
      <w:proofErr w:type="gramEnd"/>
      <w:r>
        <w:rPr>
          <w:rFonts w:ascii="Arial" w:eastAsia="Arial" w:hAnsi="Arial" w:cs="Arial"/>
          <w:sz w:val="24"/>
          <w:szCs w:val="24"/>
        </w:rPr>
        <w:t xml:space="preserve"> preferencialmente, acondicionados em embalagem individual adequada, com o menor volume possível, que utilize materiais recicláveis, de forma a garantir a máxima proteção durante o transporte e o armazenamento; e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IV - Que os bens não contenham substâncias perigosas em concentração acima da recomendada na diretiva </w:t>
      </w:r>
      <w:proofErr w:type="spellStart"/>
      <w:proofErr w:type="gramStart"/>
      <w:r>
        <w:rPr>
          <w:rFonts w:ascii="Arial" w:eastAsia="Arial" w:hAnsi="Arial" w:cs="Arial"/>
          <w:sz w:val="24"/>
          <w:szCs w:val="24"/>
        </w:rPr>
        <w:t>RoHS</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Restriction</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Certain</w:t>
      </w:r>
      <w:proofErr w:type="spellEnd"/>
      <w:r>
        <w:rPr>
          <w:rFonts w:ascii="Arial" w:eastAsia="Arial" w:hAnsi="Arial" w:cs="Arial"/>
          <w:sz w:val="24"/>
          <w:szCs w:val="24"/>
        </w:rPr>
        <w:t xml:space="preserve"> </w:t>
      </w:r>
      <w:proofErr w:type="spellStart"/>
      <w:r>
        <w:rPr>
          <w:rFonts w:ascii="Arial" w:eastAsia="Arial" w:hAnsi="Arial" w:cs="Arial"/>
          <w:sz w:val="24"/>
          <w:szCs w:val="24"/>
        </w:rPr>
        <w:t>Hazardous</w:t>
      </w:r>
      <w:proofErr w:type="spellEnd"/>
      <w:r>
        <w:rPr>
          <w:rFonts w:ascii="Arial" w:eastAsia="Arial" w:hAnsi="Arial" w:cs="Arial"/>
          <w:sz w:val="24"/>
          <w:szCs w:val="24"/>
        </w:rPr>
        <w:t xml:space="preserve"> </w:t>
      </w:r>
      <w:proofErr w:type="spellStart"/>
      <w:r>
        <w:rPr>
          <w:rFonts w:ascii="Arial" w:eastAsia="Arial" w:hAnsi="Arial" w:cs="Arial"/>
          <w:sz w:val="24"/>
          <w:szCs w:val="24"/>
        </w:rPr>
        <w:t>Substances</w:t>
      </w:r>
      <w:proofErr w:type="spellEnd"/>
      <w:r>
        <w:rPr>
          <w:rFonts w:ascii="Arial" w:eastAsia="Arial" w:hAnsi="Arial" w:cs="Arial"/>
          <w:sz w:val="24"/>
          <w:szCs w:val="24"/>
        </w:rPr>
        <w:t>), tais como mercúrio (Hg), chumbo (</w:t>
      </w:r>
      <w:proofErr w:type="spellStart"/>
      <w:r>
        <w:rPr>
          <w:rFonts w:ascii="Arial" w:eastAsia="Arial" w:hAnsi="Arial" w:cs="Arial"/>
          <w:sz w:val="24"/>
          <w:szCs w:val="24"/>
        </w:rPr>
        <w:t>Pb</w:t>
      </w:r>
      <w:proofErr w:type="spellEnd"/>
      <w:r>
        <w:rPr>
          <w:rFonts w:ascii="Arial" w:eastAsia="Arial" w:hAnsi="Arial" w:cs="Arial"/>
          <w:sz w:val="24"/>
          <w:szCs w:val="24"/>
        </w:rPr>
        <w:t xml:space="preserve">), cromo hexavalente (Cr (VI)), cádmio (Cd), </w:t>
      </w:r>
      <w:proofErr w:type="spellStart"/>
      <w:r>
        <w:rPr>
          <w:rFonts w:ascii="Arial" w:eastAsia="Arial" w:hAnsi="Arial" w:cs="Arial"/>
          <w:sz w:val="24"/>
          <w:szCs w:val="24"/>
        </w:rPr>
        <w:t>bifenil-polibromados</w:t>
      </w:r>
      <w:proofErr w:type="spellEnd"/>
      <w:r>
        <w:rPr>
          <w:rFonts w:ascii="Arial" w:eastAsia="Arial" w:hAnsi="Arial" w:cs="Arial"/>
          <w:sz w:val="24"/>
          <w:szCs w:val="24"/>
        </w:rPr>
        <w:t xml:space="preserve"> (</w:t>
      </w:r>
      <w:proofErr w:type="spellStart"/>
      <w:r>
        <w:rPr>
          <w:rFonts w:ascii="Arial" w:eastAsia="Arial" w:hAnsi="Arial" w:cs="Arial"/>
          <w:sz w:val="24"/>
          <w:szCs w:val="24"/>
        </w:rPr>
        <w:t>PBBs</w:t>
      </w:r>
      <w:proofErr w:type="spellEnd"/>
      <w:r>
        <w:rPr>
          <w:rFonts w:ascii="Arial" w:eastAsia="Arial" w:hAnsi="Arial" w:cs="Arial"/>
          <w:sz w:val="24"/>
          <w:szCs w:val="24"/>
        </w:rPr>
        <w:t xml:space="preserve">), éteres </w:t>
      </w:r>
      <w:proofErr w:type="spellStart"/>
      <w:r>
        <w:rPr>
          <w:rFonts w:ascii="Arial" w:eastAsia="Arial" w:hAnsi="Arial" w:cs="Arial"/>
          <w:sz w:val="24"/>
          <w:szCs w:val="24"/>
        </w:rPr>
        <w:t>difenil-polibromados</w:t>
      </w:r>
      <w:proofErr w:type="spellEnd"/>
      <w:r>
        <w:rPr>
          <w:rFonts w:ascii="Arial" w:eastAsia="Arial" w:hAnsi="Arial" w:cs="Arial"/>
          <w:sz w:val="24"/>
          <w:szCs w:val="24"/>
        </w:rPr>
        <w:t xml:space="preserve"> (</w:t>
      </w:r>
      <w:proofErr w:type="spellStart"/>
      <w:r>
        <w:rPr>
          <w:rFonts w:ascii="Arial" w:eastAsia="Arial" w:hAnsi="Arial" w:cs="Arial"/>
          <w:sz w:val="24"/>
          <w:szCs w:val="24"/>
        </w:rPr>
        <w:t>PBDEs</w:t>
      </w:r>
      <w:proofErr w:type="spellEnd"/>
      <w:r>
        <w:rPr>
          <w:rFonts w:ascii="Arial" w:eastAsia="Arial" w:hAnsi="Arial" w:cs="Arial"/>
          <w:sz w:val="24"/>
          <w:szCs w:val="24"/>
        </w:rPr>
        <w:t>).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Também deverão ser observados, no que </w:t>
      </w:r>
      <w:proofErr w:type="gramStart"/>
      <w:r>
        <w:rPr>
          <w:rFonts w:ascii="Arial" w:eastAsia="Arial" w:hAnsi="Arial" w:cs="Arial"/>
          <w:sz w:val="24"/>
          <w:szCs w:val="24"/>
        </w:rPr>
        <w:t>couber</w:t>
      </w:r>
      <w:proofErr w:type="gramEnd"/>
      <w:r>
        <w:rPr>
          <w:rFonts w:ascii="Arial" w:eastAsia="Arial" w:hAnsi="Arial" w:cs="Arial"/>
          <w:sz w:val="24"/>
          <w:szCs w:val="24"/>
        </w:rPr>
        <w:t>, os preceitos da Lei Estadual nº 20.132, de 20 de janeiro de 2020, que altera dispositivos da Lei no 15.608, de 16 de agosto de 2007, e da Lei Estadual n° 16.075/2009.</w:t>
      </w:r>
    </w:p>
    <w:p w:rsidR="002E5C8A" w:rsidRDefault="002E5C8A">
      <w:pPr>
        <w:spacing w:before="120" w:line="276" w:lineRule="auto"/>
        <w:jc w:val="both"/>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lastRenderedPageBreak/>
        <w:t>DO PREÇO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No preço estão incluídos todos os impostos, taxas, emolumentos, contribuições fiscais e </w:t>
      </w:r>
      <w:proofErr w:type="spellStart"/>
      <w:r>
        <w:rPr>
          <w:rFonts w:ascii="Arial" w:eastAsia="Arial" w:hAnsi="Arial" w:cs="Arial"/>
          <w:sz w:val="24"/>
          <w:szCs w:val="24"/>
        </w:rPr>
        <w:t>parafiscais</w:t>
      </w:r>
      <w:proofErr w:type="spellEnd"/>
      <w:r>
        <w:rPr>
          <w:rFonts w:ascii="Arial" w:eastAsia="Arial" w:hAnsi="Arial" w:cs="Arial"/>
          <w:sz w:val="24"/>
          <w:szCs w:val="24"/>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rsidR="002E5C8A" w:rsidRDefault="002E5C8A">
      <w:pPr>
        <w:spacing w:before="120" w:after="120" w:line="276" w:lineRule="auto"/>
        <w:rPr>
          <w:rFonts w:ascii="Calibri" w:eastAsia="Calibri" w:hAnsi="Calibri" w:cs="Calibri"/>
          <w:sz w:val="22"/>
          <w:szCs w:val="22"/>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RECEBIMENTO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Em se tratando de compras ou de locação de equipamentos, será recebido provisoriamente em até 10 (dez) dias, para efeito de posterior verificação da conformidade do material com a especificação;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objeto será recebido definitivamente somente mediante a verificação da manutenção dos requisitos de habilitação requeridos no procedimento de compra, inclusive mediante a apresentação das seguintes certidões negativas ou positivas com efeito de negativas: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Fiscais de Débitos das receitas nos âmbitos municipal, estadual e federal;</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Certidão de Débitos Trabalhistas, emitida pelo Tribunal Superior do Trabalho;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Certificado de Regularidade do </w:t>
      </w:r>
      <w:proofErr w:type="gramStart"/>
      <w:r>
        <w:rPr>
          <w:rFonts w:ascii="Arial" w:eastAsia="Arial" w:hAnsi="Arial" w:cs="Arial"/>
          <w:sz w:val="24"/>
          <w:szCs w:val="24"/>
        </w:rPr>
        <w:t>FGTS –CRF</w:t>
      </w:r>
      <w:proofErr w:type="gramEnd"/>
      <w:r>
        <w:rPr>
          <w:rFonts w:ascii="Arial" w:eastAsia="Arial" w:hAnsi="Arial" w:cs="Arial"/>
          <w:sz w:val="24"/>
          <w:szCs w:val="24"/>
        </w:rPr>
        <w:t>.</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lastRenderedPageBreak/>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recebimento definitivo será realizado de acordo com os seguintes prazos:</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Quando se tratar de compras ou de locação de equipamentos, será recebido definitivamente em até 15 (quinze) dias, após a verificação da qualidade e quantidade do material.</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No caso de recebimento definitivo de objeto cujo valor supere R$ 176.000,00 (cento e setenta e seis mil reais), deverá ser designada comissão específica pela autoridade competente, composta por, no mínimo, </w:t>
      </w:r>
      <w:proofErr w:type="gramStart"/>
      <w:r>
        <w:rPr>
          <w:rFonts w:ascii="Arial" w:eastAsia="Arial" w:hAnsi="Arial" w:cs="Arial"/>
          <w:sz w:val="24"/>
          <w:szCs w:val="24"/>
        </w:rPr>
        <w:t>3</w:t>
      </w:r>
      <w:proofErr w:type="gramEnd"/>
      <w:r>
        <w:rPr>
          <w:rFonts w:ascii="Arial" w:eastAsia="Arial" w:hAnsi="Arial" w:cs="Arial"/>
          <w:sz w:val="24"/>
          <w:szCs w:val="24"/>
        </w:rPr>
        <w:t xml:space="preserve"> (três) membros, que elaborará termo circunstanciado para esse fim.</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Na hipótese de o termo circunstanciado ou a verificação a que se </w:t>
      </w:r>
      <w:proofErr w:type="gramStart"/>
      <w:r>
        <w:rPr>
          <w:rFonts w:ascii="Arial" w:eastAsia="Arial" w:hAnsi="Arial" w:cs="Arial"/>
          <w:sz w:val="24"/>
          <w:szCs w:val="24"/>
        </w:rPr>
        <w:t>refere</w:t>
      </w:r>
      <w:proofErr w:type="gramEnd"/>
      <w:r>
        <w:rPr>
          <w:rFonts w:ascii="Arial" w:eastAsia="Arial" w:hAnsi="Arial" w:cs="Arial"/>
          <w:sz w:val="24"/>
          <w:szCs w:val="24"/>
        </w:rPr>
        <w:t xml:space="preserve"> os itens anteriores não serem realizados, serão reconhecidos de forma tácita, mediante comunicação à Administração nos 15 (quinze) dias anteriores à exaustão dos mesmos, nos termos do artigo 73, § 4º</w:t>
      </w:r>
      <w:r w:rsidR="00975CDC">
        <w:rPr>
          <w:rFonts w:ascii="Arial" w:eastAsia="Arial" w:hAnsi="Arial" w:cs="Arial"/>
          <w:sz w:val="24"/>
          <w:szCs w:val="24"/>
        </w:rPr>
        <w:t xml:space="preserve"> </w:t>
      </w:r>
      <w:r>
        <w:rPr>
          <w:rFonts w:ascii="Arial" w:eastAsia="Arial" w:hAnsi="Arial" w:cs="Arial"/>
          <w:sz w:val="24"/>
          <w:szCs w:val="24"/>
        </w:rPr>
        <w:t>da Lei 8.666/1993.</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 CONTRATADA deverá </w:t>
      </w:r>
      <w:proofErr w:type="gramStart"/>
      <w:r>
        <w:rPr>
          <w:rFonts w:ascii="Arial" w:eastAsia="Arial" w:hAnsi="Arial" w:cs="Arial"/>
          <w:sz w:val="24"/>
          <w:szCs w:val="24"/>
        </w:rPr>
        <w:t>corrigir,</w:t>
      </w:r>
      <w:proofErr w:type="gramEnd"/>
      <w:r>
        <w:rPr>
          <w:rFonts w:ascii="Arial" w:eastAsia="Arial" w:hAnsi="Arial" w:cs="Arial"/>
          <w:sz w:val="24"/>
          <w:szCs w:val="24"/>
        </w:rPr>
        <w:t xml:space="preserve"> refazer ou substituir o objeto que apresentar quaisquer divergências com as especificações fornecidas, bem como realizar possíveis adequações necessárias, sem ônus para a CONTRATANTE.</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recebimento definitivo do objeto fica condicionado à demonstração de cumprimento pela contratada de todas as suas obrigações assumidas, dentre as quais se inclui a apresentação dos documentos pertinentes, conforme descrito no item 8.2, e demais documentos complementares.</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Os recebimentos provisório ou definitivo do objeto não excluem a responsabilidade da contratada pelos prejuízos resultantes da incorreta execução/prestação do objeto.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lastRenderedPageBreak/>
        <w:t>Os recebimentos provisório e definitivo ficam condicionados à prestação da totalidade do objeto indicado na ordem de fornecimento/serviço, sendo vedados recebimentos fracionados decorrentes de um mesmo pedido.</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Pr>
          <w:rFonts w:ascii="Arial" w:eastAsia="Arial" w:hAnsi="Arial" w:cs="Arial"/>
          <w:sz w:val="24"/>
          <w:szCs w:val="24"/>
        </w:rPr>
        <w:t>as</w:t>
      </w:r>
      <w:proofErr w:type="gramEnd"/>
      <w:r>
        <w:rPr>
          <w:rFonts w:ascii="Arial" w:eastAsia="Arial" w:hAnsi="Arial" w:cs="Arial"/>
          <w:sz w:val="24"/>
          <w:szCs w:val="24"/>
        </w:rPr>
        <w:t xml:space="preserve"> demais condições do Termo de Referência.</w:t>
      </w:r>
    </w:p>
    <w:p w:rsidR="002E5C8A" w:rsidRDefault="002E5C8A">
      <w:pPr>
        <w:spacing w:before="120" w:after="120" w:line="276" w:lineRule="auto"/>
        <w:rPr>
          <w:rFonts w:ascii="Calibri" w:eastAsia="Calibri" w:hAnsi="Calibri" w:cs="Calibri"/>
          <w:sz w:val="22"/>
          <w:szCs w:val="22"/>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DAS CONDIÇÕES DE PAGAMENTO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Pr>
          <w:rFonts w:ascii="Arial" w:eastAsia="Arial" w:hAnsi="Arial" w:cs="Arial"/>
          <w:sz w:val="24"/>
          <w:szCs w:val="24"/>
        </w:rPr>
        <w:t>5</w:t>
      </w:r>
      <w:proofErr w:type="gramEnd"/>
      <w:r>
        <w:rPr>
          <w:rFonts w:ascii="Arial" w:eastAsia="Arial" w:hAnsi="Arial" w:cs="Arial"/>
          <w:sz w:val="24"/>
          <w:szCs w:val="24"/>
        </w:rPr>
        <w:t xml:space="preserve"> (cinco) dias úteis, nos termos do § 3° do artigo 5° da Lei 8.666/93, contados também do recebimento definitivo.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Eventuais retenções e/ou descontos dos pagamentos serão apreciados em procedimento específico para apuração do eventual inadimplemento.</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w:t>
      </w:r>
      <w:proofErr w:type="gramStart"/>
      <w:r>
        <w:rPr>
          <w:rFonts w:ascii="Arial" w:eastAsia="Arial" w:hAnsi="Arial" w:cs="Arial"/>
          <w:sz w:val="24"/>
          <w:szCs w:val="24"/>
        </w:rPr>
        <w:t>pro rata</w:t>
      </w:r>
      <w:proofErr w:type="gramEnd"/>
      <w:r>
        <w:rPr>
          <w:rFonts w:ascii="Arial" w:eastAsia="Arial" w:hAnsi="Arial" w:cs="Arial"/>
          <w:sz w:val="24"/>
          <w:szCs w:val="24"/>
        </w:rPr>
        <w:t xml:space="preserve"> </w:t>
      </w:r>
      <w:proofErr w:type="spellStart"/>
      <w:r>
        <w:rPr>
          <w:rFonts w:ascii="Arial" w:eastAsia="Arial" w:hAnsi="Arial" w:cs="Arial"/>
          <w:sz w:val="24"/>
          <w:szCs w:val="24"/>
        </w:rPr>
        <w:t>die</w:t>
      </w:r>
      <w:proofErr w:type="spellEnd"/>
      <w:r>
        <w:rPr>
          <w:rFonts w:ascii="Arial" w:eastAsia="Arial" w:hAnsi="Arial" w:cs="Arial"/>
          <w:sz w:val="24"/>
          <w:szCs w:val="24"/>
        </w:rPr>
        <w:t>, com juros moratórios de 0,5% (meio por cento) ao mês e correção monetária pelo índice IGP-M/FGV.</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A DPE/PR fará as retenções de acordo com a legislação vigente e/ou exigirá a comprovação dos recolhimentos exigidos em lei.</w:t>
      </w:r>
    </w:p>
    <w:p w:rsidR="002E5C8A" w:rsidRDefault="00EB1172">
      <w:pPr>
        <w:numPr>
          <w:ilvl w:val="2"/>
          <w:numId w:val="1"/>
        </w:numPr>
        <w:spacing w:before="120" w:line="300" w:lineRule="auto"/>
        <w:ind w:hanging="796"/>
        <w:jc w:val="both"/>
        <w:rPr>
          <w:rFonts w:ascii="Arial" w:eastAsia="Arial" w:hAnsi="Arial" w:cs="Arial"/>
          <w:sz w:val="24"/>
          <w:szCs w:val="24"/>
        </w:rPr>
      </w:pPr>
      <w:r>
        <w:rPr>
          <w:rFonts w:ascii="Arial" w:eastAsia="Arial" w:hAnsi="Arial" w:cs="Arial"/>
          <w:sz w:val="24"/>
          <w:szCs w:val="24"/>
        </w:rPr>
        <w:t xml:space="preserve">Eventuais encargos decorrentes de atrasos nas retenções de responsabilidade da DPE/PR serão imputáveis exclusivamente à </w:t>
      </w:r>
      <w:r>
        <w:rPr>
          <w:rFonts w:ascii="Arial" w:eastAsia="Arial" w:hAnsi="Arial" w:cs="Arial"/>
          <w:sz w:val="24"/>
          <w:szCs w:val="24"/>
        </w:rPr>
        <w:lastRenderedPageBreak/>
        <w:t>fornecedora quando esta deixar de apresentar os documentos necessários em tempo hábil.</w:t>
      </w:r>
    </w:p>
    <w:p w:rsidR="002E5C8A" w:rsidRDefault="002E5C8A">
      <w:pPr>
        <w:spacing w:before="120" w:line="300" w:lineRule="auto"/>
        <w:ind w:left="1080" w:hanging="720"/>
        <w:jc w:val="both"/>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SANÇÕES ADMINISTRATIVAS</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2E5C8A" w:rsidRDefault="00EB1172">
      <w:pPr>
        <w:spacing w:before="120" w:line="276" w:lineRule="auto"/>
        <w:ind w:left="720" w:firstLine="720"/>
        <w:jc w:val="both"/>
        <w:rPr>
          <w:rFonts w:ascii="Arial" w:eastAsia="Arial" w:hAnsi="Arial" w:cs="Arial"/>
          <w:sz w:val="24"/>
          <w:szCs w:val="24"/>
        </w:rPr>
      </w:pPr>
      <w:r>
        <w:rPr>
          <w:rFonts w:ascii="Arial" w:eastAsia="Arial" w:hAnsi="Arial" w:cs="Arial"/>
          <w:sz w:val="24"/>
          <w:szCs w:val="24"/>
        </w:rPr>
        <w:t xml:space="preserve">I - Advertência, em caso de conduta que prejudique o andamento do procedimento licitatório ou da contratação; </w:t>
      </w:r>
    </w:p>
    <w:p w:rsidR="002E5C8A" w:rsidRDefault="00EB1172">
      <w:pPr>
        <w:spacing w:before="120" w:line="276" w:lineRule="auto"/>
        <w:ind w:left="720" w:firstLine="720"/>
        <w:jc w:val="both"/>
        <w:rPr>
          <w:rFonts w:ascii="Arial" w:eastAsia="Arial" w:hAnsi="Arial" w:cs="Arial"/>
          <w:sz w:val="24"/>
          <w:szCs w:val="24"/>
        </w:rPr>
      </w:pPr>
      <w:r>
        <w:rPr>
          <w:rFonts w:ascii="Arial" w:eastAsia="Arial" w:hAnsi="Arial" w:cs="Arial"/>
          <w:sz w:val="24"/>
          <w:szCs w:val="24"/>
        </w:rPr>
        <w:t xml:space="preserve">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2E5C8A" w:rsidRDefault="00EB1172">
      <w:pPr>
        <w:spacing w:before="120" w:line="276" w:lineRule="auto"/>
        <w:ind w:left="720" w:firstLine="720"/>
        <w:jc w:val="both"/>
        <w:rPr>
          <w:rFonts w:ascii="Arial" w:eastAsia="Arial" w:hAnsi="Arial" w:cs="Arial"/>
          <w:sz w:val="24"/>
          <w:szCs w:val="24"/>
        </w:rPr>
      </w:pPr>
      <w:r>
        <w:rPr>
          <w:rFonts w:ascii="Arial" w:eastAsia="Arial" w:hAnsi="Arial" w:cs="Arial"/>
          <w:sz w:val="24"/>
          <w:szCs w:val="24"/>
        </w:rPr>
        <w:t xml:space="preserve">III - Multa de até 20% (vinte por cento) sobre o valor total do contrato, nas seguintes hipóteses, dentre outras: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a) não manutenção da proposta;</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b) apresentação de declaração falsa;</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c) não apresentação de documento na fase de saneamento;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d) inexecução contratual;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e) recusa injustificada, após ser considerado adjudicatário, a assinar o contrato, aceitar ou retirar o instrumento equivalente, dentro do prazo estabelecido pela Administração;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f) abandono da execução contratual;</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g) apresentação de documento falso;</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h) fraude ou frustração do procedimento mediante ajuste, combinação ou qualquer outro expediente;</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i) afastamento ou tentativa de afastamento de outra licitante por meio de violência, grave </w:t>
      </w:r>
      <w:proofErr w:type="gramStart"/>
      <w:r>
        <w:rPr>
          <w:rFonts w:ascii="Arial" w:eastAsia="Arial" w:hAnsi="Arial" w:cs="Arial"/>
          <w:sz w:val="24"/>
          <w:szCs w:val="24"/>
        </w:rPr>
        <w:t>ameaça,</w:t>
      </w:r>
      <w:proofErr w:type="gramEnd"/>
      <w:r>
        <w:rPr>
          <w:rFonts w:ascii="Arial" w:eastAsia="Arial" w:hAnsi="Arial" w:cs="Arial"/>
          <w:sz w:val="24"/>
          <w:szCs w:val="24"/>
        </w:rPr>
        <w:t xml:space="preserve"> fraude ou oferecimento de vantagem de qualquer tipo;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j) atuação de má-fé na relação contratual, comprovada em procedimento específico;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k) recebimento de condenação judicial definitiva por praticar, por meios dolosos, fraude fiscal no recolhimento de quaisquer tributos;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lastRenderedPageBreak/>
        <w:t xml:space="preserve">l) demonstração de não possuir idoneidade para contratar com a Administração, em virtude de atos ilícitos praticados, em especial infrações à ordem econômica definidos na Lei Federal nº 8.158/91;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m) recebimento de condenação definitiva por ato de improbidade administrativa, na forma da lei.</w:t>
      </w:r>
    </w:p>
    <w:p w:rsidR="002E5C8A" w:rsidRDefault="00EB1172">
      <w:pPr>
        <w:spacing w:before="120" w:line="276" w:lineRule="auto"/>
        <w:ind w:left="720" w:firstLine="720"/>
        <w:jc w:val="both"/>
        <w:rPr>
          <w:rFonts w:ascii="Arial" w:eastAsia="Arial" w:hAnsi="Arial" w:cs="Arial"/>
          <w:sz w:val="24"/>
          <w:szCs w:val="24"/>
        </w:rPr>
      </w:pPr>
      <w:r>
        <w:rPr>
          <w:rFonts w:ascii="Arial" w:eastAsia="Arial" w:hAnsi="Arial" w:cs="Arial"/>
          <w:sz w:val="24"/>
          <w:szCs w:val="24"/>
        </w:rPr>
        <w:t xml:space="preserve">IV - Suspensão temporária de participação em licitação e impedimento de licitar e contratar com a DPE/PR pelo prazo de até </w:t>
      </w:r>
      <w:proofErr w:type="gramStart"/>
      <w:r>
        <w:rPr>
          <w:rFonts w:ascii="Arial" w:eastAsia="Arial" w:hAnsi="Arial" w:cs="Arial"/>
          <w:sz w:val="24"/>
          <w:szCs w:val="24"/>
        </w:rPr>
        <w:t>2</w:t>
      </w:r>
      <w:proofErr w:type="gramEnd"/>
      <w:r>
        <w:rPr>
          <w:rFonts w:ascii="Arial" w:eastAsia="Arial" w:hAnsi="Arial" w:cs="Arial"/>
          <w:sz w:val="24"/>
          <w:szCs w:val="24"/>
        </w:rPr>
        <w:t xml:space="preserve"> (dois) anos, nas seguintes hipóteses: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a) recusa injustificada, após ser considerado adjudicatário, a assinar o contrato, aceitar ou retirar o instrumento equivalente, dentro do prazo estabelecido pela Administração;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b) não manutenção da proposta;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c) abandono da execução contratual;</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d) inexecução contratual.</w:t>
      </w:r>
    </w:p>
    <w:p w:rsidR="002E5C8A" w:rsidRDefault="00EB1172">
      <w:pPr>
        <w:spacing w:before="120" w:line="276" w:lineRule="auto"/>
        <w:ind w:left="720" w:firstLine="720"/>
        <w:jc w:val="both"/>
        <w:rPr>
          <w:rFonts w:ascii="Arial" w:eastAsia="Arial" w:hAnsi="Arial" w:cs="Arial"/>
          <w:sz w:val="24"/>
          <w:szCs w:val="24"/>
        </w:rPr>
      </w:pPr>
      <w:r>
        <w:rPr>
          <w:rFonts w:ascii="Arial" w:eastAsia="Arial" w:hAnsi="Arial" w:cs="Arial"/>
          <w:sz w:val="24"/>
          <w:szCs w:val="24"/>
        </w:rPr>
        <w:t>V - Declaração de inidoneidade para licitar ou contratar com a Administração Pública, pelo prazo máximo de 05 (cinco) anos, aplicada à licitante que:</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a) apresentação de declaração falsa na fase de habilitação;</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b) apresentação de documento falso;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c) fraude ou frustração do procedimento mediante ajuste, combinação ou qualquer outro expediente;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d) afastamento ou tentativa de afastamento de outra licitante por meio de violência, grave </w:t>
      </w:r>
      <w:proofErr w:type="gramStart"/>
      <w:r>
        <w:rPr>
          <w:rFonts w:ascii="Arial" w:eastAsia="Arial" w:hAnsi="Arial" w:cs="Arial"/>
          <w:sz w:val="24"/>
          <w:szCs w:val="24"/>
        </w:rPr>
        <w:t>ameaça,</w:t>
      </w:r>
      <w:proofErr w:type="gramEnd"/>
      <w:r>
        <w:rPr>
          <w:rFonts w:ascii="Arial" w:eastAsia="Arial" w:hAnsi="Arial" w:cs="Arial"/>
          <w:sz w:val="24"/>
          <w:szCs w:val="24"/>
        </w:rPr>
        <w:t xml:space="preserve"> fraude ou oferecimento de vantagem de qualquer tipo;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e) atuação de má-fé na relação contratual, comprovada em procedimento específico;</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f) recebimento de condenação judicial definitiva por praticar, por meios dolosos, fraude fiscal no recolhimento de quaisquer tributos; </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g) demonstração de não possuir idoneidade para contratar com a Administração, em virtude de atos ilícitos praticados, em especial infrações à ordem econômica definidos na Lei Federal nº 8.158/91;</w:t>
      </w:r>
    </w:p>
    <w:p w:rsidR="002E5C8A" w:rsidRDefault="00EB1172">
      <w:pPr>
        <w:spacing w:before="120" w:line="276" w:lineRule="auto"/>
        <w:ind w:left="709" w:firstLine="10"/>
        <w:jc w:val="both"/>
        <w:rPr>
          <w:rFonts w:ascii="Arial" w:eastAsia="Arial" w:hAnsi="Arial" w:cs="Arial"/>
          <w:sz w:val="24"/>
          <w:szCs w:val="24"/>
        </w:rPr>
      </w:pPr>
      <w:r>
        <w:rPr>
          <w:rFonts w:ascii="Arial" w:eastAsia="Arial" w:hAnsi="Arial" w:cs="Arial"/>
          <w:sz w:val="24"/>
          <w:szCs w:val="24"/>
        </w:rPr>
        <w:t xml:space="preserve">h) recebimento de condenação definitiva por ato de improbidade administrativa, na forma da lei.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As sanções previstas acima poderão ser aplicadas cumulativamente. </w:t>
      </w:r>
    </w:p>
    <w:p w:rsidR="002E5C8A" w:rsidRDefault="002E5C8A">
      <w:pPr>
        <w:spacing w:before="120" w:line="276" w:lineRule="auto"/>
        <w:ind w:left="720" w:firstLine="720"/>
        <w:jc w:val="both"/>
        <w:rPr>
          <w:rFonts w:ascii="Arial" w:eastAsia="Arial" w:hAnsi="Arial" w:cs="Arial"/>
          <w:sz w:val="24"/>
          <w:szCs w:val="24"/>
        </w:rPr>
      </w:pPr>
    </w:p>
    <w:p w:rsidR="002E5C8A" w:rsidRDefault="00EB1172">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lastRenderedPageBreak/>
        <w:t>LEGISLAÇÃO APLICÁVEL</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 xml:space="preserve">Aplicam-se ao presente as disposições contidas na Lei Federal nº </w:t>
      </w:r>
      <w:proofErr w:type="gramStart"/>
      <w:r>
        <w:rPr>
          <w:rFonts w:ascii="Arial" w:eastAsia="Arial" w:hAnsi="Arial" w:cs="Arial"/>
          <w:sz w:val="24"/>
          <w:szCs w:val="24"/>
        </w:rPr>
        <w:t>10.520/2002, na Lei Complementar Federal nº</w:t>
      </w:r>
      <w:proofErr w:type="gramEnd"/>
      <w:r>
        <w:rPr>
          <w:rFonts w:ascii="Arial" w:eastAsia="Arial" w:hAnsi="Arial" w:cs="Arial"/>
          <w:sz w:val="24"/>
          <w:szCs w:val="24"/>
        </w:rPr>
        <w:t xml:space="preserve"> 123/2006, na Lei Estadual nº 15.608/2007 e legislação complementar, aplicáveis subsidiariamente, no que couber, a Lei Federal nº 8.666/1993 e a Lei Federal nº 8.078/1990. </w:t>
      </w:r>
    </w:p>
    <w:p w:rsidR="002E5C8A" w:rsidRDefault="00EB1172">
      <w:pPr>
        <w:numPr>
          <w:ilvl w:val="1"/>
          <w:numId w:val="1"/>
        </w:numPr>
        <w:spacing w:before="120" w:line="276" w:lineRule="auto"/>
        <w:jc w:val="both"/>
        <w:rPr>
          <w:sz w:val="24"/>
          <w:szCs w:val="24"/>
        </w:rPr>
      </w:pPr>
      <w:r>
        <w:rPr>
          <w:rFonts w:ascii="Arial" w:eastAsia="Arial" w:hAnsi="Arial" w:cs="Arial"/>
          <w:sz w:val="24"/>
          <w:szCs w:val="24"/>
        </w:rPr>
        <w:t>Os diplomas legais acima indicados aplicam-se especialmente quanto aos casos omissos.</w:t>
      </w:r>
    </w:p>
    <w:p w:rsidR="002E5C8A" w:rsidRDefault="002E5C8A">
      <w:pPr>
        <w:spacing w:after="200" w:line="276" w:lineRule="auto"/>
        <w:rPr>
          <w:rFonts w:ascii="Verdana" w:eastAsia="Verdana" w:hAnsi="Verdana" w:cs="Verdana"/>
          <w:highlight w:val="yellow"/>
        </w:rPr>
      </w:pPr>
    </w:p>
    <w:p w:rsidR="002E5C8A" w:rsidRDefault="002E5C8A">
      <w:pPr>
        <w:spacing w:after="200" w:line="276" w:lineRule="auto"/>
        <w:rPr>
          <w:rFonts w:ascii="Verdana" w:eastAsia="Verdana" w:hAnsi="Verdana" w:cs="Verdana"/>
        </w:rPr>
      </w:pPr>
    </w:p>
    <w:p w:rsidR="002E5C8A" w:rsidRDefault="002E5C8A">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731730" w:rsidRDefault="00731730">
      <w:pPr>
        <w:spacing w:after="200" w:line="276" w:lineRule="auto"/>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b/>
        </w:rPr>
      </w:pPr>
      <w:r>
        <w:rPr>
          <w:rFonts w:ascii="Verdana" w:eastAsia="Verdana" w:hAnsi="Verdana" w:cs="Verdana"/>
          <w:b/>
        </w:rPr>
        <w:t>ANEXO II – MODELO DE CARTA DE CREDENCIAMENTO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(Local), __ de __________ de 2021.</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Atenciosamente,</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[Identificação e assinatura do outorgante]</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(Local), ___ de _________ de 2021.</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Nome da Empresa</w:t>
      </w:r>
    </w:p>
    <w:p w:rsidR="002E5C8A" w:rsidRDefault="00EB1172">
      <w:pPr>
        <w:spacing w:line="276" w:lineRule="auto"/>
        <w:jc w:val="center"/>
        <w:rPr>
          <w:rFonts w:ascii="Verdana" w:eastAsia="Verdana" w:hAnsi="Verdana" w:cs="Verdana"/>
        </w:rPr>
      </w:pPr>
      <w:r>
        <w:rPr>
          <w:rFonts w:ascii="Verdana" w:eastAsia="Verdana" w:hAnsi="Verdana" w:cs="Verdana"/>
        </w:rPr>
        <w:t>CNPJ:</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Representante Legal ou Procurador da Licitante</w:t>
      </w:r>
    </w:p>
    <w:p w:rsidR="002E5C8A" w:rsidRDefault="00EB1172">
      <w:pPr>
        <w:spacing w:line="276" w:lineRule="auto"/>
        <w:jc w:val="center"/>
        <w:rPr>
          <w:rFonts w:ascii="Verdana" w:eastAsia="Verdana" w:hAnsi="Verdana" w:cs="Verdana"/>
        </w:rPr>
      </w:pPr>
      <w:r>
        <w:rPr>
          <w:rFonts w:ascii="Verdana" w:eastAsia="Verdana" w:hAnsi="Verdana" w:cs="Verdana"/>
        </w:rPr>
        <w:t>(nome e assinatura)</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E5C8A" w:rsidRDefault="00EB1172">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Local e Data</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Representante Legal ou Procurador da Licitante</w:t>
      </w:r>
    </w:p>
    <w:p w:rsidR="002E5C8A" w:rsidRDefault="00EB1172">
      <w:pPr>
        <w:spacing w:line="276" w:lineRule="auto"/>
        <w:jc w:val="center"/>
        <w:rPr>
          <w:rFonts w:ascii="Verdana" w:eastAsia="Verdana" w:hAnsi="Verdana" w:cs="Verdana"/>
        </w:rPr>
      </w:pPr>
      <w:r>
        <w:rPr>
          <w:rFonts w:ascii="Verdana" w:eastAsia="Verdana" w:hAnsi="Verdana" w:cs="Verdana"/>
        </w:rPr>
        <w:t>(nome e assinatura)</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Nome do Representante:</w:t>
      </w:r>
    </w:p>
    <w:p w:rsidR="002E5C8A" w:rsidRDefault="00EB1172">
      <w:pPr>
        <w:spacing w:line="276" w:lineRule="auto"/>
        <w:jc w:val="both"/>
        <w:rPr>
          <w:rFonts w:ascii="Verdana" w:eastAsia="Verdana" w:hAnsi="Verdana" w:cs="Verdana"/>
        </w:rPr>
      </w:pPr>
      <w:r>
        <w:rPr>
          <w:rFonts w:ascii="Verdana" w:eastAsia="Verdana" w:hAnsi="Verdana" w:cs="Verdana"/>
        </w:rPr>
        <w:t>RG:</w:t>
      </w:r>
    </w:p>
    <w:p w:rsidR="002E5C8A" w:rsidRDefault="00EB1172">
      <w:pPr>
        <w:spacing w:line="276" w:lineRule="auto"/>
        <w:jc w:val="both"/>
        <w:rPr>
          <w:rFonts w:ascii="Verdana" w:eastAsia="Verdana" w:hAnsi="Verdana" w:cs="Verdana"/>
        </w:rPr>
      </w:pPr>
      <w:r>
        <w:rPr>
          <w:rFonts w:ascii="Verdana" w:eastAsia="Verdana" w:hAnsi="Verdana" w:cs="Verdana"/>
        </w:rPr>
        <w:t>CPF:</w:t>
      </w:r>
    </w:p>
    <w:p w:rsidR="002E5C8A" w:rsidRDefault="00EB1172">
      <w:pPr>
        <w:spacing w:line="276" w:lineRule="auto"/>
        <w:jc w:val="both"/>
        <w:rPr>
          <w:rFonts w:ascii="Verdana" w:eastAsia="Verdana" w:hAnsi="Verdana" w:cs="Verdana"/>
        </w:rPr>
      </w:pPr>
      <w:r>
        <w:rPr>
          <w:rFonts w:ascii="Verdana" w:eastAsia="Verdana" w:hAnsi="Verdana" w:cs="Verdana"/>
        </w:rPr>
        <w:t>Razão Social da Empresa:</w:t>
      </w:r>
    </w:p>
    <w:p w:rsidR="002E5C8A" w:rsidRDefault="00EB1172">
      <w:pPr>
        <w:spacing w:line="276" w:lineRule="auto"/>
        <w:jc w:val="both"/>
        <w:rPr>
          <w:rFonts w:ascii="Verdana" w:eastAsia="Verdana" w:hAnsi="Verdana" w:cs="Verdana"/>
        </w:rPr>
      </w:pPr>
      <w:r>
        <w:rPr>
          <w:rFonts w:ascii="Verdana" w:eastAsia="Verdana" w:hAnsi="Verdana" w:cs="Verdana"/>
        </w:rPr>
        <w:t>CNPJ:</w:t>
      </w:r>
    </w:p>
    <w:p w:rsidR="002E5C8A" w:rsidRDefault="00EB1172">
      <w:pPr>
        <w:spacing w:line="276" w:lineRule="auto"/>
        <w:jc w:val="both"/>
        <w:rPr>
          <w:rFonts w:ascii="Verdana" w:eastAsia="Verdana" w:hAnsi="Verdana" w:cs="Verdana"/>
        </w:rPr>
      </w:pPr>
      <w:r>
        <w:rPr>
          <w:rFonts w:ascii="Verdana" w:eastAsia="Verdana" w:hAnsi="Verdana" w:cs="Verdana"/>
        </w:rPr>
        <w:t>Endereço:</w:t>
      </w:r>
    </w:p>
    <w:p w:rsidR="002E5C8A" w:rsidRDefault="00EB1172">
      <w:pPr>
        <w:spacing w:line="276" w:lineRule="auto"/>
        <w:jc w:val="both"/>
        <w:rPr>
          <w:rFonts w:ascii="Verdana" w:eastAsia="Verdana" w:hAnsi="Verdana" w:cs="Verdana"/>
        </w:rPr>
      </w:pPr>
      <w:r>
        <w:rPr>
          <w:rFonts w:ascii="Verdana" w:eastAsia="Verdana" w:hAnsi="Verdana" w:cs="Verdana"/>
        </w:rPr>
        <w:t>Telefone:</w:t>
      </w:r>
    </w:p>
    <w:p w:rsidR="002E5C8A" w:rsidRDefault="00EB1172">
      <w:pPr>
        <w:spacing w:line="276" w:lineRule="auto"/>
        <w:jc w:val="both"/>
        <w:rPr>
          <w:rFonts w:ascii="Verdana" w:eastAsia="Verdana" w:hAnsi="Verdana" w:cs="Verdana"/>
        </w:rPr>
      </w:pPr>
      <w:r>
        <w:rPr>
          <w:rFonts w:ascii="Verdana" w:eastAsia="Verdana" w:hAnsi="Verdana" w:cs="Verdana"/>
        </w:rPr>
        <w:t>Email:</w:t>
      </w:r>
    </w:p>
    <w:p w:rsidR="002E5C8A" w:rsidRDefault="00EB1172">
      <w:pPr>
        <w:spacing w:line="276" w:lineRule="auto"/>
        <w:jc w:val="both"/>
        <w:rPr>
          <w:rFonts w:ascii="Verdana" w:eastAsia="Verdana" w:hAnsi="Verdana" w:cs="Verdana"/>
        </w:rPr>
      </w:pPr>
      <w:r>
        <w:rPr>
          <w:rFonts w:ascii="Verdana" w:eastAsia="Verdana" w:hAnsi="Verdana" w:cs="Verdana"/>
        </w:rPr>
        <w:t>Banco, agência e conta para pagamento:</w:t>
      </w:r>
    </w:p>
    <w:p w:rsidR="002E5C8A" w:rsidRDefault="002E5C8A">
      <w:pPr>
        <w:spacing w:before="120" w:line="276" w:lineRule="auto"/>
        <w:jc w:val="both"/>
        <w:rPr>
          <w:rFonts w:ascii="Arial" w:eastAsia="Arial" w:hAnsi="Arial" w:cs="Arial"/>
          <w:sz w:val="24"/>
          <w:szCs w:val="24"/>
        </w:rPr>
      </w:pPr>
    </w:p>
    <w:tbl>
      <w:tblPr>
        <w:tblStyle w:val="a4"/>
        <w:tblW w:w="9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6"/>
        <w:gridCol w:w="612"/>
        <w:gridCol w:w="3248"/>
        <w:gridCol w:w="1198"/>
        <w:gridCol w:w="1064"/>
        <w:gridCol w:w="1142"/>
        <w:gridCol w:w="1255"/>
      </w:tblGrid>
      <w:tr w:rsidR="002E5C8A" w:rsidTr="00975CDC">
        <w:trPr>
          <w:trHeight w:val="247"/>
          <w:jc w:val="center"/>
        </w:trPr>
        <w:tc>
          <w:tcPr>
            <w:tcW w:w="626"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Lote</w:t>
            </w:r>
          </w:p>
        </w:tc>
        <w:tc>
          <w:tcPr>
            <w:tcW w:w="612"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Item</w:t>
            </w:r>
          </w:p>
        </w:tc>
        <w:tc>
          <w:tcPr>
            <w:tcW w:w="3248"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Descrição</w:t>
            </w:r>
          </w:p>
        </w:tc>
        <w:tc>
          <w:tcPr>
            <w:tcW w:w="1198"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Quant. Estimada</w:t>
            </w:r>
          </w:p>
        </w:tc>
        <w:tc>
          <w:tcPr>
            <w:tcW w:w="1064"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Marca/modelo</w:t>
            </w:r>
          </w:p>
        </w:tc>
        <w:tc>
          <w:tcPr>
            <w:tcW w:w="1142" w:type="dxa"/>
            <w:shd w:val="clear" w:color="auto" w:fill="A6A6A6"/>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255" w:type="dxa"/>
            <w:shd w:val="clear" w:color="auto" w:fill="A6A6A6"/>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Valor Total</w:t>
            </w:r>
          </w:p>
        </w:tc>
      </w:tr>
      <w:tr w:rsidR="002E5C8A" w:rsidTr="00975CDC">
        <w:trPr>
          <w:trHeight w:val="223"/>
          <w:jc w:val="center"/>
        </w:trPr>
        <w:tc>
          <w:tcPr>
            <w:tcW w:w="626"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612"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3248" w:type="dxa"/>
            <w:tcBorders>
              <w:bottom w:val="single" w:sz="4" w:space="0" w:color="000000"/>
            </w:tcBorders>
          </w:tcPr>
          <w:p w:rsidR="002E5C8A" w:rsidRDefault="00EB1172">
            <w:pPr>
              <w:spacing w:before="120"/>
              <w:jc w:val="both"/>
              <w:rPr>
                <w:rFonts w:ascii="Arial" w:eastAsia="Arial" w:hAnsi="Arial" w:cs="Arial"/>
                <w:sz w:val="24"/>
                <w:szCs w:val="24"/>
              </w:rPr>
            </w:pPr>
            <w:proofErr w:type="spellStart"/>
            <w:r>
              <w:rPr>
                <w:rFonts w:ascii="Arial" w:eastAsia="Arial" w:hAnsi="Arial" w:cs="Arial"/>
                <w:b/>
                <w:sz w:val="24"/>
                <w:szCs w:val="24"/>
              </w:rPr>
              <w:t>Nobreak</w:t>
            </w:r>
            <w:proofErr w:type="spellEnd"/>
            <w:r>
              <w:rPr>
                <w:rFonts w:ascii="Arial" w:eastAsia="Arial" w:hAnsi="Arial" w:cs="Arial"/>
                <w:b/>
                <w:sz w:val="24"/>
                <w:szCs w:val="24"/>
              </w:rPr>
              <w:t xml:space="preserve"> 3000VA</w:t>
            </w:r>
            <w:r>
              <w:rPr>
                <w:rFonts w:ascii="Arial" w:eastAsia="Arial" w:hAnsi="Arial" w:cs="Arial"/>
                <w:sz w:val="24"/>
                <w:szCs w:val="24"/>
              </w:rPr>
              <w:t xml:space="preserve"> com entrada bivolt </w:t>
            </w:r>
            <w:proofErr w:type="gramStart"/>
            <w:r>
              <w:rPr>
                <w:rFonts w:ascii="Arial" w:eastAsia="Arial" w:hAnsi="Arial" w:cs="Arial"/>
                <w:sz w:val="24"/>
                <w:szCs w:val="24"/>
              </w:rPr>
              <w:t>127V</w:t>
            </w:r>
            <w:proofErr w:type="gramEnd"/>
            <w:r>
              <w:rPr>
                <w:rFonts w:ascii="Arial" w:eastAsia="Arial" w:hAnsi="Arial" w:cs="Arial"/>
                <w:sz w:val="24"/>
                <w:szCs w:val="24"/>
              </w:rPr>
              <w:t xml:space="preserve">/220V, com placa de gerenciamento para controle e monitoramento   remoto   do   </w:t>
            </w:r>
            <w:proofErr w:type="spellStart"/>
            <w:r>
              <w:rPr>
                <w:rFonts w:ascii="Arial" w:eastAsia="Arial" w:hAnsi="Arial" w:cs="Arial"/>
                <w:sz w:val="24"/>
                <w:szCs w:val="24"/>
              </w:rPr>
              <w:t>nobreak</w:t>
            </w:r>
            <w:proofErr w:type="spellEnd"/>
            <w:r>
              <w:rPr>
                <w:rFonts w:ascii="Arial" w:eastAsia="Arial" w:hAnsi="Arial" w:cs="Arial"/>
                <w:sz w:val="24"/>
                <w:szCs w:val="24"/>
              </w:rPr>
              <w:t xml:space="preserve">   conectado   diretamente   à   rede   de   dados, em conformidade com os requisitos deste Termo de Referência.</w:t>
            </w:r>
          </w:p>
        </w:tc>
        <w:tc>
          <w:tcPr>
            <w:tcW w:w="1198" w:type="dxa"/>
            <w:tcBorders>
              <w:bottom w:val="single" w:sz="4" w:space="0" w:color="000000"/>
            </w:tcBorders>
            <w:vAlign w:val="center"/>
          </w:tcPr>
          <w:p w:rsidR="002E5C8A" w:rsidRDefault="00EB1172">
            <w:pPr>
              <w:spacing w:before="120"/>
              <w:jc w:val="center"/>
              <w:rPr>
                <w:rFonts w:ascii="Arial" w:eastAsia="Arial" w:hAnsi="Arial" w:cs="Arial"/>
                <w:sz w:val="24"/>
                <w:szCs w:val="24"/>
              </w:rPr>
            </w:pPr>
            <w:r>
              <w:rPr>
                <w:rFonts w:ascii="Arial" w:eastAsia="Arial" w:hAnsi="Arial" w:cs="Arial"/>
                <w:sz w:val="24"/>
                <w:szCs w:val="24"/>
              </w:rPr>
              <w:t>50 unidades</w:t>
            </w:r>
          </w:p>
        </w:tc>
        <w:tc>
          <w:tcPr>
            <w:tcW w:w="1064" w:type="dxa"/>
            <w:tcBorders>
              <w:bottom w:val="single" w:sz="4" w:space="0" w:color="000000"/>
            </w:tcBorders>
            <w:vAlign w:val="center"/>
          </w:tcPr>
          <w:p w:rsidR="002E5C8A" w:rsidRDefault="002E5C8A">
            <w:pPr>
              <w:spacing w:before="120"/>
              <w:jc w:val="center"/>
              <w:rPr>
                <w:rFonts w:ascii="Arial" w:eastAsia="Arial" w:hAnsi="Arial" w:cs="Arial"/>
                <w:sz w:val="24"/>
                <w:szCs w:val="24"/>
              </w:rPr>
            </w:pPr>
          </w:p>
        </w:tc>
        <w:tc>
          <w:tcPr>
            <w:tcW w:w="1142"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w:t>
            </w:r>
          </w:p>
        </w:tc>
        <w:tc>
          <w:tcPr>
            <w:tcW w:w="1255"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w:t>
            </w:r>
          </w:p>
        </w:tc>
      </w:tr>
    </w:tbl>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A validade da proposta é de 60 (sessenta) dias.</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(Local), ____ de ____________ de 2021.</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(nome e assinatura do representante)</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(Local), ____ de __________ de 2021.</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Nome da Empresa</w:t>
      </w:r>
    </w:p>
    <w:p w:rsidR="002E5C8A" w:rsidRDefault="00EB1172">
      <w:pPr>
        <w:spacing w:line="276" w:lineRule="auto"/>
        <w:jc w:val="center"/>
        <w:rPr>
          <w:rFonts w:ascii="Verdana" w:eastAsia="Verdana" w:hAnsi="Verdana" w:cs="Verdana"/>
        </w:rPr>
      </w:pPr>
      <w:r>
        <w:rPr>
          <w:rFonts w:ascii="Verdana" w:eastAsia="Verdana" w:hAnsi="Verdana" w:cs="Verdana"/>
        </w:rPr>
        <w:t>CNPJ:</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Representante Legal ou Procurador da Licitante</w:t>
      </w:r>
    </w:p>
    <w:p w:rsidR="002E5C8A" w:rsidRDefault="00EB1172">
      <w:pPr>
        <w:spacing w:line="276" w:lineRule="auto"/>
        <w:jc w:val="center"/>
        <w:rPr>
          <w:rFonts w:ascii="Verdana" w:eastAsia="Verdana" w:hAnsi="Verdana" w:cs="Verdana"/>
        </w:rPr>
      </w:pPr>
      <w:r>
        <w:rPr>
          <w:rFonts w:ascii="Verdana" w:eastAsia="Verdana" w:hAnsi="Verdana" w:cs="Verdana"/>
        </w:rPr>
        <w:t>(nome e assinatura)</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LICITAÇÃO Nº </w:t>
      </w:r>
      <w:r w:rsidR="00975CDC">
        <w:rPr>
          <w:rFonts w:ascii="Verdana" w:eastAsia="Verdana" w:hAnsi="Verdana" w:cs="Verdana"/>
        </w:rPr>
        <w:t>016</w:t>
      </w:r>
      <w:r>
        <w:rPr>
          <w:rFonts w:ascii="Verdana" w:eastAsia="Verdana" w:hAnsi="Verdana" w:cs="Verdana"/>
        </w:rPr>
        <w:t>/2021 – PREGÃO ELETRÔNICO</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(Local), _____ de _____________ de 2021.</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Nome da Empresa</w:t>
      </w:r>
    </w:p>
    <w:p w:rsidR="002E5C8A" w:rsidRDefault="00EB1172">
      <w:pPr>
        <w:spacing w:line="276" w:lineRule="auto"/>
        <w:jc w:val="center"/>
        <w:rPr>
          <w:rFonts w:ascii="Verdana" w:eastAsia="Verdana" w:hAnsi="Verdana" w:cs="Verdana"/>
        </w:rPr>
      </w:pPr>
      <w:r>
        <w:rPr>
          <w:rFonts w:ascii="Verdana" w:eastAsia="Verdana" w:hAnsi="Verdana" w:cs="Verdana"/>
        </w:rPr>
        <w:t>CNPJ:</w:t>
      </w: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Representante Legal ou Procurador da Licitante</w:t>
      </w:r>
    </w:p>
    <w:p w:rsidR="002E5C8A" w:rsidRDefault="00EB1172">
      <w:pPr>
        <w:spacing w:line="276" w:lineRule="auto"/>
        <w:jc w:val="center"/>
        <w:rPr>
          <w:rFonts w:ascii="Verdana" w:eastAsia="Verdana" w:hAnsi="Verdana" w:cs="Verdana"/>
        </w:rPr>
      </w:pPr>
      <w:r>
        <w:rPr>
          <w:rFonts w:ascii="Verdana" w:eastAsia="Verdana" w:hAnsi="Verdana" w:cs="Verdana"/>
        </w:rPr>
        <w:t>(nome e assinatura)</w:t>
      </w:r>
    </w:p>
    <w:p w:rsidR="002E5C8A" w:rsidRDefault="00EB1172">
      <w:pPr>
        <w:spacing w:after="200" w:line="276" w:lineRule="auto"/>
        <w:rPr>
          <w:rFonts w:ascii="Verdana" w:eastAsia="Verdana" w:hAnsi="Verdana" w:cs="Verdana"/>
        </w:rPr>
      </w:pPr>
      <w:r>
        <w:br w:type="page"/>
      </w:r>
    </w:p>
    <w:p w:rsidR="002E5C8A" w:rsidRDefault="00EB1172">
      <w:pPr>
        <w:spacing w:line="276" w:lineRule="auto"/>
        <w:jc w:val="center"/>
        <w:rPr>
          <w:rFonts w:ascii="Verdana" w:eastAsia="Verdana" w:hAnsi="Verdana" w:cs="Verdana"/>
          <w:b/>
        </w:rP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rsidR="002E5C8A" w:rsidRDefault="002E5C8A">
      <w:pPr>
        <w:spacing w:line="276" w:lineRule="auto"/>
        <w:jc w:val="center"/>
        <w:rPr>
          <w:rFonts w:ascii="Verdana" w:eastAsia="Verdana" w:hAnsi="Verdana" w:cs="Verdana"/>
          <w:b/>
        </w:rPr>
      </w:pPr>
    </w:p>
    <w:p w:rsidR="002E5C8A" w:rsidRDefault="002E5C8A">
      <w:pPr>
        <w:spacing w:line="276" w:lineRule="auto"/>
        <w:jc w:val="center"/>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À</w:t>
      </w:r>
    </w:p>
    <w:p w:rsidR="002E5C8A" w:rsidRDefault="00EB1172">
      <w:pPr>
        <w:spacing w:line="276" w:lineRule="auto"/>
        <w:jc w:val="both"/>
        <w:rPr>
          <w:rFonts w:ascii="Verdana" w:eastAsia="Verdana" w:hAnsi="Verdana" w:cs="Verdana"/>
        </w:rPr>
      </w:pPr>
      <w:r>
        <w:rPr>
          <w:rFonts w:ascii="Verdana" w:eastAsia="Verdana" w:hAnsi="Verdana" w:cs="Verdana"/>
        </w:rPr>
        <w:t>DEFENSORIA PÚBLICA DO ESTADO DO PARANÁ</w:t>
      </w:r>
    </w:p>
    <w:p w:rsidR="002E5C8A" w:rsidRDefault="00EB1172">
      <w:pPr>
        <w:spacing w:line="276" w:lineRule="auto"/>
        <w:jc w:val="both"/>
        <w:rPr>
          <w:rFonts w:ascii="Verdana" w:eastAsia="Verdana" w:hAnsi="Verdana" w:cs="Verdana"/>
        </w:rPr>
      </w:pPr>
      <w:r>
        <w:rPr>
          <w:rFonts w:ascii="Verdana" w:eastAsia="Verdana" w:hAnsi="Verdana" w:cs="Verdana"/>
        </w:rPr>
        <w:t xml:space="preserve">EDITAL DE PREGÃO ELETRÔNICO Nº </w:t>
      </w:r>
      <w:r w:rsidR="00975CDC">
        <w:rPr>
          <w:rFonts w:ascii="Verdana" w:eastAsia="Verdana" w:hAnsi="Verdana" w:cs="Verdana"/>
        </w:rPr>
        <w:t>016</w:t>
      </w:r>
      <w:r>
        <w:rPr>
          <w:rFonts w:ascii="Verdana" w:eastAsia="Verdana" w:hAnsi="Verdana" w:cs="Verdana"/>
        </w:rPr>
        <w:t xml:space="preserve">/2021 </w:t>
      </w:r>
    </w:p>
    <w:p w:rsidR="002E5C8A" w:rsidRDefault="002E5C8A">
      <w:pPr>
        <w:spacing w:line="276" w:lineRule="auto"/>
        <w:jc w:val="center"/>
        <w:rPr>
          <w:rFonts w:ascii="Verdana" w:eastAsia="Verdana" w:hAnsi="Verdana" w:cs="Verdana"/>
          <w:b/>
        </w:rPr>
      </w:pPr>
    </w:p>
    <w:p w:rsidR="002E5C8A" w:rsidRDefault="002E5C8A">
      <w:pPr>
        <w:spacing w:line="276" w:lineRule="auto"/>
        <w:jc w:val="both"/>
        <w:rPr>
          <w:rFonts w:ascii="Verdana" w:eastAsia="Verdana" w:hAnsi="Verdana" w:cs="Verdana"/>
          <w:b/>
        </w:rPr>
      </w:pPr>
    </w:p>
    <w:p w:rsidR="002E5C8A" w:rsidRDefault="00EB1172">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(Local), ____ de __________ de 2021.</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Nome da Empresa</w:t>
      </w:r>
    </w:p>
    <w:p w:rsidR="002E5C8A" w:rsidRDefault="00EB1172">
      <w:pPr>
        <w:spacing w:line="276" w:lineRule="auto"/>
        <w:jc w:val="center"/>
        <w:rPr>
          <w:rFonts w:ascii="Verdana" w:eastAsia="Verdana" w:hAnsi="Verdana" w:cs="Verdana"/>
        </w:rPr>
      </w:pPr>
      <w:r>
        <w:rPr>
          <w:rFonts w:ascii="Verdana" w:eastAsia="Verdana" w:hAnsi="Verdana" w:cs="Verdana"/>
        </w:rPr>
        <w:t>CNPJ:</w:t>
      </w: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2E5C8A">
      <w:pPr>
        <w:spacing w:line="276" w:lineRule="auto"/>
        <w:jc w:val="center"/>
        <w:rPr>
          <w:rFonts w:ascii="Verdana" w:eastAsia="Verdana" w:hAnsi="Verdana" w:cs="Verdana"/>
        </w:rPr>
      </w:pPr>
    </w:p>
    <w:p w:rsidR="002E5C8A" w:rsidRDefault="00EB1172">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2E5C8A" w:rsidRDefault="00EB1172">
      <w:pPr>
        <w:spacing w:line="276" w:lineRule="auto"/>
        <w:jc w:val="center"/>
        <w:rPr>
          <w:rFonts w:ascii="Verdana" w:eastAsia="Verdana" w:hAnsi="Verdana" w:cs="Verdana"/>
        </w:rPr>
      </w:pPr>
      <w:r>
        <w:rPr>
          <w:rFonts w:ascii="Verdana" w:eastAsia="Verdana" w:hAnsi="Verdana" w:cs="Verdana"/>
        </w:rPr>
        <w:t>Representante Legal ou Procurador da Licitante</w:t>
      </w:r>
    </w:p>
    <w:p w:rsidR="002E5C8A" w:rsidRDefault="00EB1172">
      <w:pPr>
        <w:spacing w:line="276" w:lineRule="auto"/>
        <w:jc w:val="center"/>
        <w:rPr>
          <w:rFonts w:ascii="Verdana" w:eastAsia="Verdana" w:hAnsi="Verdana" w:cs="Verdana"/>
        </w:rPr>
      </w:pPr>
      <w:r>
        <w:rPr>
          <w:rFonts w:ascii="Verdana" w:eastAsia="Verdana" w:hAnsi="Verdana" w:cs="Verdana"/>
        </w:rPr>
        <w:t>(nome e assinatura)</w:t>
      </w: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2E5C8A">
      <w:pPr>
        <w:spacing w:line="276" w:lineRule="auto"/>
        <w:jc w:val="center"/>
        <w:rPr>
          <w:rFonts w:ascii="Verdana" w:eastAsia="Verdana" w:hAnsi="Verdana" w:cs="Verdana"/>
          <w:b/>
          <w:highlight w:val="green"/>
        </w:rPr>
      </w:pPr>
    </w:p>
    <w:p w:rsidR="002E5C8A" w:rsidRDefault="00EB1172">
      <w:pPr>
        <w:spacing w:line="276" w:lineRule="auto"/>
        <w:jc w:val="center"/>
        <w:rPr>
          <w:rFonts w:ascii="Verdana" w:eastAsia="Verdana" w:hAnsi="Verdana" w:cs="Verdana"/>
          <w:b/>
        </w:rPr>
      </w:pPr>
      <w:r>
        <w:rPr>
          <w:rFonts w:ascii="Verdana" w:eastAsia="Verdana" w:hAnsi="Verdana" w:cs="Verdana"/>
          <w:b/>
        </w:rPr>
        <w:t>ANEXO IX – MINUTA DA ATA DE REGISTRO DE PREÇOS</w:t>
      </w:r>
    </w:p>
    <w:p w:rsidR="002E5C8A" w:rsidRDefault="002E5C8A">
      <w:pPr>
        <w:spacing w:line="276" w:lineRule="auto"/>
        <w:jc w:val="both"/>
        <w:rPr>
          <w:rFonts w:ascii="Verdana" w:eastAsia="Verdana" w:hAnsi="Verdana" w:cs="Verdana"/>
          <w:b/>
        </w:rPr>
      </w:pPr>
    </w:p>
    <w:p w:rsidR="002E5C8A" w:rsidRDefault="00EB1172">
      <w:pPr>
        <w:spacing w:line="276" w:lineRule="auto"/>
        <w:jc w:val="both"/>
        <w:rPr>
          <w:rFonts w:ascii="Verdana" w:eastAsia="Verdana" w:hAnsi="Verdana" w:cs="Verdana"/>
          <w:highlight w:val="green"/>
        </w:rPr>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975CDC">
        <w:rPr>
          <w:rFonts w:ascii="Verdana" w:eastAsia="Verdana" w:hAnsi="Verdana" w:cs="Verdana"/>
        </w:rPr>
        <w:t>016</w:t>
      </w:r>
      <w:r>
        <w:rPr>
          <w:rFonts w:ascii="Verdana" w:eastAsia="Verdana" w:hAnsi="Verdana" w:cs="Verdana"/>
        </w:rPr>
        <w:t xml:space="preserve">/2021 (Protocolo nº 17.139.263-2)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2E5C8A" w:rsidRDefault="002E5C8A">
      <w:pPr>
        <w:spacing w:line="276" w:lineRule="auto"/>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1. OBJETO</w:t>
      </w:r>
    </w:p>
    <w:p w:rsidR="002E5C8A" w:rsidRDefault="00EB1172">
      <w:pPr>
        <w:spacing w:line="276" w:lineRule="auto"/>
        <w:jc w:val="both"/>
        <w:rPr>
          <w:rFonts w:ascii="Verdana" w:eastAsia="Verdana" w:hAnsi="Verdana" w:cs="Verdana"/>
        </w:rPr>
      </w:pPr>
      <w:r>
        <w:rPr>
          <w:rFonts w:ascii="Verdana" w:eastAsia="Verdana" w:hAnsi="Verdana" w:cs="Verdana"/>
        </w:rPr>
        <w:t xml:space="preserve">1.1. O objeto da presente Ata de Registro de Preços é a aquisição de </w:t>
      </w:r>
      <w:proofErr w:type="spellStart"/>
      <w:r>
        <w:rPr>
          <w:rFonts w:ascii="Verdana" w:eastAsia="Verdana" w:hAnsi="Verdana" w:cs="Verdana"/>
          <w:i/>
        </w:rPr>
        <w:t>nobreaks</w:t>
      </w:r>
      <w:proofErr w:type="spellEnd"/>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2E5C8A" w:rsidRDefault="002E5C8A">
      <w:pPr>
        <w:spacing w:line="276" w:lineRule="auto"/>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2. FORNECEDORES E PREÇOS REGISTRADOS</w:t>
      </w:r>
    </w:p>
    <w:p w:rsidR="002E5C8A" w:rsidRDefault="00EB1172">
      <w:pPr>
        <w:spacing w:line="276" w:lineRule="auto"/>
        <w:jc w:val="both"/>
        <w:rPr>
          <w:rFonts w:ascii="Arial" w:eastAsia="Arial" w:hAnsi="Arial" w:cs="Arial"/>
          <w:sz w:val="24"/>
          <w:szCs w:val="24"/>
        </w:rPr>
      </w:pPr>
      <w:r>
        <w:rPr>
          <w:rFonts w:ascii="Verdana" w:eastAsia="Verdana" w:hAnsi="Verdana" w:cs="Verdana"/>
        </w:rPr>
        <w:t>2.1. O preço registrado unitário e total, as especificações do objeto, a quantidade, fornecedores e as demais condições ofertadas nas propostas são as que seguem:</w:t>
      </w:r>
    </w:p>
    <w:tbl>
      <w:tblPr>
        <w:tblStyle w:val="a5"/>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6"/>
        <w:gridCol w:w="612"/>
        <w:gridCol w:w="3248"/>
        <w:gridCol w:w="1064"/>
        <w:gridCol w:w="1064"/>
        <w:gridCol w:w="1318"/>
        <w:gridCol w:w="1518"/>
      </w:tblGrid>
      <w:tr w:rsidR="002E5C8A">
        <w:trPr>
          <w:trHeight w:val="247"/>
          <w:jc w:val="center"/>
        </w:trPr>
        <w:tc>
          <w:tcPr>
            <w:tcW w:w="625"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Lote</w:t>
            </w:r>
          </w:p>
        </w:tc>
        <w:tc>
          <w:tcPr>
            <w:tcW w:w="612" w:type="dxa"/>
            <w:shd w:val="clear" w:color="auto" w:fill="A6A6A6"/>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Item</w:t>
            </w:r>
          </w:p>
        </w:tc>
        <w:tc>
          <w:tcPr>
            <w:tcW w:w="3247"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Descrição</w:t>
            </w:r>
          </w:p>
        </w:tc>
        <w:tc>
          <w:tcPr>
            <w:tcW w:w="1064"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Quant. Estimada</w:t>
            </w:r>
          </w:p>
        </w:tc>
        <w:tc>
          <w:tcPr>
            <w:tcW w:w="1064" w:type="dxa"/>
            <w:shd w:val="clear" w:color="auto" w:fill="A6A6A6"/>
            <w:vAlign w:val="center"/>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Marca/modelo</w:t>
            </w:r>
          </w:p>
        </w:tc>
        <w:tc>
          <w:tcPr>
            <w:tcW w:w="1317" w:type="dxa"/>
            <w:shd w:val="clear" w:color="auto" w:fill="A6A6A6"/>
          </w:tcPr>
          <w:p w:rsidR="002E5C8A" w:rsidRDefault="00EB1172">
            <w:pPr>
              <w:spacing w:before="12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517" w:type="dxa"/>
            <w:shd w:val="clear" w:color="auto" w:fill="A6A6A6"/>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Valor Total</w:t>
            </w:r>
          </w:p>
        </w:tc>
      </w:tr>
      <w:tr w:rsidR="002E5C8A">
        <w:trPr>
          <w:trHeight w:val="223"/>
          <w:jc w:val="center"/>
        </w:trPr>
        <w:tc>
          <w:tcPr>
            <w:tcW w:w="625"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612" w:type="dxa"/>
            <w:tcBorders>
              <w:bottom w:val="single" w:sz="4" w:space="0" w:color="000000"/>
            </w:tcBorders>
            <w:shd w:val="clear" w:color="auto" w:fill="D9D9D9"/>
            <w:vAlign w:val="center"/>
          </w:tcPr>
          <w:p w:rsidR="002E5C8A" w:rsidRDefault="00EB1172">
            <w:pPr>
              <w:spacing w:before="120"/>
              <w:jc w:val="center"/>
              <w:rPr>
                <w:rFonts w:ascii="Arial" w:eastAsia="Arial" w:hAnsi="Arial" w:cs="Arial"/>
                <w:b/>
                <w:sz w:val="24"/>
                <w:szCs w:val="24"/>
              </w:rPr>
            </w:pPr>
            <w:r>
              <w:rPr>
                <w:rFonts w:ascii="Arial" w:eastAsia="Arial" w:hAnsi="Arial" w:cs="Arial"/>
                <w:b/>
                <w:sz w:val="24"/>
                <w:szCs w:val="24"/>
              </w:rPr>
              <w:t>01</w:t>
            </w:r>
          </w:p>
        </w:tc>
        <w:tc>
          <w:tcPr>
            <w:tcW w:w="3247" w:type="dxa"/>
            <w:tcBorders>
              <w:bottom w:val="single" w:sz="4" w:space="0" w:color="000000"/>
            </w:tcBorders>
          </w:tcPr>
          <w:p w:rsidR="002E5C8A" w:rsidRDefault="00EB1172">
            <w:pPr>
              <w:spacing w:before="120"/>
              <w:jc w:val="both"/>
              <w:rPr>
                <w:rFonts w:ascii="Arial" w:eastAsia="Arial" w:hAnsi="Arial" w:cs="Arial"/>
                <w:sz w:val="24"/>
                <w:szCs w:val="24"/>
              </w:rPr>
            </w:pPr>
            <w:proofErr w:type="spellStart"/>
            <w:r>
              <w:rPr>
                <w:rFonts w:ascii="Arial" w:eastAsia="Arial" w:hAnsi="Arial" w:cs="Arial"/>
                <w:b/>
                <w:sz w:val="24"/>
                <w:szCs w:val="24"/>
              </w:rPr>
              <w:t>Nobreak</w:t>
            </w:r>
            <w:proofErr w:type="spellEnd"/>
            <w:r>
              <w:rPr>
                <w:rFonts w:ascii="Arial" w:eastAsia="Arial" w:hAnsi="Arial" w:cs="Arial"/>
                <w:b/>
                <w:sz w:val="24"/>
                <w:szCs w:val="24"/>
              </w:rPr>
              <w:t xml:space="preserve"> 3000VA</w:t>
            </w:r>
            <w:r>
              <w:rPr>
                <w:rFonts w:ascii="Arial" w:eastAsia="Arial" w:hAnsi="Arial" w:cs="Arial"/>
                <w:sz w:val="24"/>
                <w:szCs w:val="24"/>
              </w:rPr>
              <w:t xml:space="preserve"> com entrada bivolt </w:t>
            </w:r>
            <w:proofErr w:type="gramStart"/>
            <w:r>
              <w:rPr>
                <w:rFonts w:ascii="Arial" w:eastAsia="Arial" w:hAnsi="Arial" w:cs="Arial"/>
                <w:sz w:val="24"/>
                <w:szCs w:val="24"/>
              </w:rPr>
              <w:t>127V</w:t>
            </w:r>
            <w:proofErr w:type="gramEnd"/>
            <w:r>
              <w:rPr>
                <w:rFonts w:ascii="Arial" w:eastAsia="Arial" w:hAnsi="Arial" w:cs="Arial"/>
                <w:sz w:val="24"/>
                <w:szCs w:val="24"/>
              </w:rPr>
              <w:t xml:space="preserve">/220V, com placa de gerenciamento para controle e monitoramento   remoto   do   </w:t>
            </w:r>
            <w:proofErr w:type="spellStart"/>
            <w:r>
              <w:rPr>
                <w:rFonts w:ascii="Arial" w:eastAsia="Arial" w:hAnsi="Arial" w:cs="Arial"/>
                <w:sz w:val="24"/>
                <w:szCs w:val="24"/>
              </w:rPr>
              <w:t>nobreak</w:t>
            </w:r>
            <w:proofErr w:type="spellEnd"/>
            <w:r>
              <w:rPr>
                <w:rFonts w:ascii="Arial" w:eastAsia="Arial" w:hAnsi="Arial" w:cs="Arial"/>
                <w:sz w:val="24"/>
                <w:szCs w:val="24"/>
              </w:rPr>
              <w:t xml:space="preserve">   conectado   diretamente   à   rede   de   dados, em conformidade com os requisitos deste Termo de Referência.</w:t>
            </w:r>
          </w:p>
        </w:tc>
        <w:tc>
          <w:tcPr>
            <w:tcW w:w="1064" w:type="dxa"/>
            <w:tcBorders>
              <w:bottom w:val="single" w:sz="4" w:space="0" w:color="000000"/>
            </w:tcBorders>
            <w:vAlign w:val="center"/>
          </w:tcPr>
          <w:p w:rsidR="002E5C8A" w:rsidRDefault="00EB1172">
            <w:pPr>
              <w:spacing w:before="120"/>
              <w:jc w:val="center"/>
              <w:rPr>
                <w:rFonts w:ascii="Arial" w:eastAsia="Arial" w:hAnsi="Arial" w:cs="Arial"/>
                <w:sz w:val="24"/>
                <w:szCs w:val="24"/>
              </w:rPr>
            </w:pPr>
            <w:r>
              <w:rPr>
                <w:rFonts w:ascii="Arial" w:eastAsia="Arial" w:hAnsi="Arial" w:cs="Arial"/>
                <w:sz w:val="24"/>
                <w:szCs w:val="24"/>
              </w:rPr>
              <w:t>50 unidades</w:t>
            </w:r>
          </w:p>
        </w:tc>
        <w:tc>
          <w:tcPr>
            <w:tcW w:w="1064" w:type="dxa"/>
            <w:tcBorders>
              <w:bottom w:val="single" w:sz="4" w:space="0" w:color="000000"/>
            </w:tcBorders>
            <w:vAlign w:val="center"/>
          </w:tcPr>
          <w:p w:rsidR="002E5C8A" w:rsidRDefault="002E5C8A">
            <w:pPr>
              <w:spacing w:before="120"/>
              <w:jc w:val="center"/>
              <w:rPr>
                <w:rFonts w:ascii="Arial" w:eastAsia="Arial" w:hAnsi="Arial" w:cs="Arial"/>
                <w:sz w:val="24"/>
                <w:szCs w:val="24"/>
              </w:rPr>
            </w:pPr>
          </w:p>
        </w:tc>
        <w:tc>
          <w:tcPr>
            <w:tcW w:w="1317"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w:t>
            </w:r>
          </w:p>
        </w:tc>
        <w:tc>
          <w:tcPr>
            <w:tcW w:w="1517" w:type="dxa"/>
            <w:tcBorders>
              <w:bottom w:val="single" w:sz="4" w:space="0" w:color="000000"/>
            </w:tcBorders>
            <w:vAlign w:val="center"/>
          </w:tcPr>
          <w:p w:rsidR="002E5C8A" w:rsidRDefault="00EB1172">
            <w:pPr>
              <w:spacing w:before="120"/>
              <w:rPr>
                <w:rFonts w:ascii="Arial" w:eastAsia="Arial" w:hAnsi="Arial" w:cs="Arial"/>
                <w:sz w:val="24"/>
                <w:szCs w:val="24"/>
              </w:rPr>
            </w:pPr>
            <w:r>
              <w:rPr>
                <w:rFonts w:ascii="Arial" w:eastAsia="Arial" w:hAnsi="Arial" w:cs="Arial"/>
                <w:sz w:val="24"/>
                <w:szCs w:val="24"/>
              </w:rPr>
              <w:t>R$</w:t>
            </w:r>
          </w:p>
        </w:tc>
      </w:tr>
    </w:tbl>
    <w:p w:rsidR="002E5C8A" w:rsidRDefault="002E5C8A">
      <w:pPr>
        <w:spacing w:line="276" w:lineRule="auto"/>
        <w:jc w:val="both"/>
        <w:rPr>
          <w:rFonts w:ascii="Verdana" w:eastAsia="Verdana" w:hAnsi="Verdana" w:cs="Verdana"/>
        </w:rPr>
      </w:pPr>
    </w:p>
    <w:tbl>
      <w:tblPr>
        <w:tblStyle w:val="a6"/>
        <w:tblW w:w="92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64"/>
      </w:tblGrid>
      <w:tr w:rsidR="002E5C8A">
        <w:trPr>
          <w:jc w:val="center"/>
        </w:trPr>
        <w:tc>
          <w:tcPr>
            <w:tcW w:w="9264" w:type="dxa"/>
            <w:vAlign w:val="center"/>
          </w:tcPr>
          <w:p w:rsidR="002E5C8A" w:rsidRDefault="00EB1172">
            <w:pPr>
              <w:pBdr>
                <w:top w:val="nil"/>
                <w:left w:val="nil"/>
                <w:bottom w:val="nil"/>
                <w:right w:val="nil"/>
                <w:between w:val="nil"/>
              </w:pBdr>
              <w:spacing w:before="120" w:line="360" w:lineRule="auto"/>
              <w:rPr>
                <w:rFonts w:ascii="Verdana" w:eastAsia="Verdana" w:hAnsi="Verdana" w:cs="Verdana"/>
                <w:color w:val="000000"/>
                <w:sz w:val="16"/>
                <w:szCs w:val="16"/>
              </w:rPr>
            </w:pPr>
            <w:r>
              <w:rPr>
                <w:rFonts w:ascii="Verdana" w:eastAsia="Verdana" w:hAnsi="Verdana" w:cs="Verdana"/>
                <w:color w:val="000000"/>
                <w:sz w:val="16"/>
                <w:szCs w:val="16"/>
              </w:rPr>
              <w:t>EMPRESA:</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DENOMINAÇÃO SOCIAL:</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INSCRIÇÃO ESTADUAL OU MUNICIPAL:</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CNPJ:</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ENDEREÇO:</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E-MAIL:</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TELEFONE:</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RESPONSÁVEL:</w:t>
            </w:r>
          </w:p>
          <w:p w:rsidR="002E5C8A" w:rsidRDefault="00EB1172">
            <w:pPr>
              <w:pBdr>
                <w:top w:val="nil"/>
                <w:left w:val="nil"/>
                <w:bottom w:val="nil"/>
                <w:right w:val="nil"/>
                <w:between w:val="nil"/>
              </w:pBdr>
              <w:spacing w:line="360" w:lineRule="auto"/>
              <w:rPr>
                <w:rFonts w:ascii="Verdana" w:eastAsia="Verdana" w:hAnsi="Verdana" w:cs="Verdana"/>
                <w:color w:val="000000"/>
                <w:sz w:val="16"/>
                <w:szCs w:val="16"/>
                <w:highlight w:val="green"/>
              </w:rPr>
            </w:pPr>
            <w:r>
              <w:rPr>
                <w:rFonts w:ascii="Verdana" w:eastAsia="Verdana" w:hAnsi="Verdana" w:cs="Verdana"/>
                <w:color w:val="000000"/>
                <w:sz w:val="16"/>
                <w:szCs w:val="16"/>
              </w:rPr>
              <w:t>BANCO, AGÊNCIA E CONTA PARA PAGAMENTO:</w:t>
            </w:r>
          </w:p>
        </w:tc>
      </w:tr>
    </w:tbl>
    <w:p w:rsidR="002E5C8A" w:rsidRDefault="002E5C8A">
      <w:pPr>
        <w:spacing w:line="276" w:lineRule="auto"/>
        <w:jc w:val="both"/>
        <w:rPr>
          <w:rFonts w:ascii="Verdana" w:eastAsia="Verdana" w:hAnsi="Verdana" w:cs="Verdana"/>
          <w:highlight w:val="green"/>
        </w:rPr>
      </w:pPr>
    </w:p>
    <w:p w:rsidR="002E5C8A" w:rsidRDefault="00EB1172">
      <w:pPr>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2E5C8A" w:rsidRDefault="002E5C8A">
      <w:pPr>
        <w:jc w:val="both"/>
        <w:rPr>
          <w:rFonts w:ascii="Verdana" w:eastAsia="Verdana" w:hAnsi="Verdana" w:cs="Verdana"/>
        </w:rPr>
      </w:pPr>
    </w:p>
    <w:p w:rsidR="002E5C8A" w:rsidRDefault="00EB1172">
      <w:pPr>
        <w:jc w:val="both"/>
        <w:rPr>
          <w:rFonts w:ascii="Verdana" w:eastAsia="Verdana" w:hAnsi="Verdana" w:cs="Verdana"/>
        </w:rPr>
      </w:pPr>
      <w:r>
        <w:rPr>
          <w:rFonts w:ascii="Verdana" w:eastAsia="Verdana" w:hAnsi="Verdana" w:cs="Verdana"/>
        </w:rPr>
        <w:t>Fornecedor: [nome do licitante vencedor]</w:t>
      </w:r>
    </w:p>
    <w:p w:rsidR="002E5C8A" w:rsidRDefault="002E5C8A">
      <w:pPr>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2E5C8A" w:rsidRDefault="002E5C8A">
      <w:pPr>
        <w:spacing w:line="276" w:lineRule="auto"/>
        <w:jc w:val="both"/>
        <w:rPr>
          <w:rFonts w:ascii="Verdana" w:eastAsia="Verdana" w:hAnsi="Verdana" w:cs="Verdana"/>
        </w:rPr>
      </w:pPr>
    </w:p>
    <w:p w:rsidR="002E5C8A" w:rsidRDefault="00EB1172">
      <w:pPr>
        <w:jc w:val="both"/>
        <w:rPr>
          <w:rFonts w:ascii="Verdana" w:eastAsia="Verdana" w:hAnsi="Verdana" w:cs="Verdana"/>
        </w:rPr>
      </w:pPr>
      <w:r>
        <w:rPr>
          <w:rFonts w:ascii="Verdana" w:eastAsia="Verdana" w:hAnsi="Verdana" w:cs="Verdana"/>
        </w:rPr>
        <w:t>Fornecedor: [nome do licitante]</w:t>
      </w:r>
    </w:p>
    <w:p w:rsidR="002E5C8A" w:rsidRDefault="002E5C8A">
      <w:pPr>
        <w:jc w:val="both"/>
        <w:rPr>
          <w:rFonts w:ascii="Verdana" w:eastAsia="Verdana" w:hAnsi="Verdana" w:cs="Verdana"/>
        </w:rPr>
      </w:pPr>
    </w:p>
    <w:p w:rsidR="002E5C8A" w:rsidRDefault="00EB1172">
      <w:pPr>
        <w:jc w:val="both"/>
        <w:rPr>
          <w:rFonts w:ascii="Verdana" w:eastAsia="Verdana" w:hAnsi="Verdana" w:cs="Verdana"/>
        </w:rPr>
      </w:pPr>
      <w:r>
        <w:rPr>
          <w:rFonts w:ascii="Verdana" w:eastAsia="Verdana" w:hAnsi="Verdana" w:cs="Verdana"/>
        </w:rPr>
        <w:t>Fornecedor: [nome do licitante]</w:t>
      </w:r>
    </w:p>
    <w:p w:rsidR="002E5C8A" w:rsidRDefault="002E5C8A">
      <w:pPr>
        <w:jc w:val="both"/>
        <w:rPr>
          <w:rFonts w:ascii="Verdana" w:eastAsia="Verdana" w:hAnsi="Verdana" w:cs="Verdana"/>
        </w:rPr>
      </w:pPr>
    </w:p>
    <w:p w:rsidR="002E5C8A" w:rsidRDefault="00EB1172">
      <w:pPr>
        <w:spacing w:line="276" w:lineRule="auto"/>
        <w:jc w:val="both"/>
        <w:rPr>
          <w:rFonts w:ascii="Verdana" w:eastAsia="Verdana" w:hAnsi="Verdana" w:cs="Verdana"/>
          <w:b/>
        </w:rPr>
      </w:pPr>
      <w:r>
        <w:rPr>
          <w:rFonts w:ascii="Verdana" w:eastAsia="Verdana" w:hAnsi="Verdana" w:cs="Verdana"/>
          <w:b/>
        </w:rPr>
        <w:t>3. VALIDADE DA ATA</w:t>
      </w:r>
    </w:p>
    <w:p w:rsidR="002E5C8A" w:rsidRDefault="00EB1172">
      <w:pPr>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2E5C8A" w:rsidRDefault="00EB1172">
      <w:pPr>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2E5C8A" w:rsidRDefault="002E5C8A">
      <w:pPr>
        <w:jc w:val="both"/>
        <w:rPr>
          <w:rFonts w:ascii="Verdana" w:eastAsia="Verdana" w:hAnsi="Verdana" w:cs="Verdana"/>
        </w:rPr>
      </w:pPr>
    </w:p>
    <w:p w:rsidR="002E5C8A" w:rsidRDefault="00EB1172">
      <w:pPr>
        <w:jc w:val="both"/>
        <w:rPr>
          <w:rFonts w:ascii="Verdana" w:eastAsia="Verdana" w:hAnsi="Verdana" w:cs="Verdana"/>
          <w:b/>
        </w:rPr>
      </w:pPr>
      <w:r>
        <w:rPr>
          <w:rFonts w:ascii="Verdana" w:eastAsia="Verdana" w:hAnsi="Verdana" w:cs="Verdana"/>
          <w:b/>
        </w:rPr>
        <w:t>5. FORMA DE PAGAMENTO</w:t>
      </w:r>
    </w:p>
    <w:p w:rsidR="002E5C8A" w:rsidRDefault="00EB1172">
      <w:pPr>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2E5C8A" w:rsidRDefault="002E5C8A">
      <w:pPr>
        <w:spacing w:line="276" w:lineRule="auto"/>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2E5C8A" w:rsidRDefault="00EB1172">
      <w:pPr>
        <w:spacing w:line="276" w:lineRule="auto"/>
        <w:jc w:val="both"/>
        <w:rPr>
          <w:rFonts w:ascii="Verdana" w:eastAsia="Verdana" w:hAnsi="Verdana" w:cs="Verdana"/>
        </w:rPr>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DPPR promover as negociações junto aos fornecedores, observadas as disposições contidas no inciso II, do § 3º, do art. 112 da Lei nº 15.608, de 2007.</w:t>
      </w:r>
    </w:p>
    <w:p w:rsidR="002E5C8A" w:rsidRDefault="00EB1172">
      <w:pPr>
        <w:spacing w:line="276" w:lineRule="auto"/>
        <w:jc w:val="both"/>
        <w:rPr>
          <w:rFonts w:ascii="Verdana" w:eastAsia="Verdana" w:hAnsi="Verdana" w:cs="Verdana"/>
        </w:rPr>
      </w:pPr>
      <w:r>
        <w:rPr>
          <w:rFonts w:ascii="Verdana" w:eastAsia="Verdana" w:hAnsi="Verdana" w:cs="Verdana"/>
        </w:rPr>
        <w:t>6.2. Quando o preço registrado tornar-se superior ao preço praticado no mercado por motivo superveniente, a DPPR convocará os fornecedores para negociarem a redução dos preços registrados aos valores praticados pelo mercado.</w:t>
      </w:r>
    </w:p>
    <w:p w:rsidR="002E5C8A" w:rsidRDefault="00EB1172">
      <w:pPr>
        <w:spacing w:line="276" w:lineRule="auto"/>
        <w:jc w:val="both"/>
        <w:rPr>
          <w:rFonts w:ascii="Verdana" w:eastAsia="Verdana" w:hAnsi="Verdana" w:cs="Verdana"/>
        </w:rPr>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2E5C8A" w:rsidRDefault="00EB1172">
      <w:pPr>
        <w:spacing w:line="276" w:lineRule="auto"/>
        <w:jc w:val="both"/>
        <w:rPr>
          <w:rFonts w:ascii="Verdana" w:eastAsia="Verdana" w:hAnsi="Verdana" w:cs="Verdana"/>
        </w:rPr>
      </w:pPr>
      <w:r>
        <w:rPr>
          <w:rFonts w:ascii="Verdana" w:eastAsia="Verdana" w:hAnsi="Verdana" w:cs="Verdana"/>
        </w:rPr>
        <w:t>6.2.2. A ordem de classificação dos fornecedores que aceitarem reduzir seus preços aos valores de mercado observará a classificação obtida originalmente na licitação.</w:t>
      </w:r>
    </w:p>
    <w:p w:rsidR="002E5C8A" w:rsidRDefault="00EB1172">
      <w:pPr>
        <w:spacing w:line="276" w:lineRule="auto"/>
        <w:jc w:val="both"/>
        <w:rPr>
          <w:rFonts w:ascii="Verdana" w:eastAsia="Verdana" w:hAnsi="Verdana" w:cs="Verdana"/>
        </w:rPr>
      </w:pPr>
      <w:r>
        <w:rPr>
          <w:rFonts w:ascii="Verdana" w:eastAsia="Verdana" w:hAnsi="Verdana" w:cs="Verdana"/>
        </w:rPr>
        <w:t xml:space="preserve">6.3. Quando o preço de mercado tornar-se superior aos preços registrados e o fornecedor não puder cumprir o compromisso, a DPPR poderá liberar o fornecedor do compromisso assumido, caso a comunicação ocorra antes do pedido de fornecimento, e sem aplicação da penalidade se confirmada </w:t>
      </w:r>
      <w:proofErr w:type="gramStart"/>
      <w:r>
        <w:rPr>
          <w:rFonts w:ascii="Verdana" w:eastAsia="Verdana" w:hAnsi="Verdana" w:cs="Verdana"/>
        </w:rPr>
        <w:t>a</w:t>
      </w:r>
      <w:proofErr w:type="gramEnd"/>
      <w:r>
        <w:rPr>
          <w:rFonts w:ascii="Verdana" w:eastAsia="Verdana" w:hAnsi="Verdana" w:cs="Verdana"/>
        </w:rPr>
        <w:t xml:space="preserve"> veracidade dos motivos e comprovantes apresentados; e convocar os demais fornecedores para assegurar igual oportunidade de negociação.</w:t>
      </w:r>
    </w:p>
    <w:p w:rsidR="002E5C8A" w:rsidRDefault="00EB1172">
      <w:pPr>
        <w:spacing w:line="276" w:lineRule="auto"/>
        <w:jc w:val="both"/>
        <w:rPr>
          <w:rFonts w:ascii="Verdana" w:eastAsia="Verdana" w:hAnsi="Verdana" w:cs="Verdana"/>
        </w:rPr>
      </w:pPr>
      <w:r>
        <w:rPr>
          <w:rFonts w:ascii="Verdana" w:eastAsia="Verdana" w:hAnsi="Verdana" w:cs="Verdana"/>
        </w:rPr>
        <w:t>6.3.1. Não havendo êxito nas negociações, a DPPR deverá proceder à revogação da ata de registro de preços, adotando as medidas cabíveis para obtenção da contratação mais vantajosa.</w:t>
      </w:r>
    </w:p>
    <w:p w:rsidR="002E5C8A" w:rsidRDefault="002E5C8A">
      <w:pPr>
        <w:jc w:val="both"/>
        <w:rPr>
          <w:rFonts w:ascii="Verdana" w:eastAsia="Verdana" w:hAnsi="Verdana" w:cs="Verdana"/>
        </w:rPr>
      </w:pPr>
    </w:p>
    <w:p w:rsidR="002E5C8A" w:rsidRDefault="00EB1172">
      <w:pPr>
        <w:spacing w:line="276" w:lineRule="auto"/>
        <w:jc w:val="both"/>
        <w:rPr>
          <w:rFonts w:ascii="Verdana" w:eastAsia="Verdana" w:hAnsi="Verdana" w:cs="Verdana"/>
          <w:b/>
        </w:rPr>
      </w:pPr>
      <w:r>
        <w:rPr>
          <w:rFonts w:ascii="Verdana" w:eastAsia="Verdana" w:hAnsi="Verdana" w:cs="Verdana"/>
          <w:b/>
        </w:rPr>
        <w:lastRenderedPageBreak/>
        <w:t>7. CANCELAMENTO DO REGISTRO DE PREÇOS</w:t>
      </w:r>
    </w:p>
    <w:p w:rsidR="002E5C8A" w:rsidRDefault="00EB1172">
      <w:pPr>
        <w:spacing w:line="276" w:lineRule="auto"/>
        <w:jc w:val="both"/>
        <w:rPr>
          <w:rFonts w:ascii="Verdana" w:eastAsia="Verdana" w:hAnsi="Verdana" w:cs="Verdana"/>
        </w:rPr>
      </w:pPr>
      <w:r>
        <w:rPr>
          <w:rFonts w:ascii="Verdana" w:eastAsia="Verdana" w:hAnsi="Verdana" w:cs="Verdana"/>
        </w:rPr>
        <w:t>7.1. O registro do preço do fornecedor será cancelado pela DPPR quando o fornecedor:</w:t>
      </w:r>
    </w:p>
    <w:p w:rsidR="002E5C8A" w:rsidRDefault="00EB1172">
      <w:pPr>
        <w:spacing w:line="276" w:lineRule="auto"/>
        <w:jc w:val="both"/>
        <w:rPr>
          <w:rFonts w:ascii="Verdana" w:eastAsia="Verdana" w:hAnsi="Verdana" w:cs="Verdana"/>
        </w:rPr>
      </w:pPr>
      <w:r>
        <w:rPr>
          <w:rFonts w:ascii="Verdana" w:eastAsia="Verdana" w:hAnsi="Verdana" w:cs="Verdana"/>
        </w:rPr>
        <w:t>I - for liberado;</w:t>
      </w:r>
    </w:p>
    <w:p w:rsidR="002E5C8A" w:rsidRDefault="00EB1172">
      <w:pPr>
        <w:spacing w:line="276" w:lineRule="auto"/>
        <w:jc w:val="both"/>
        <w:rPr>
          <w:rFonts w:ascii="Verdana" w:eastAsia="Verdana" w:hAnsi="Verdana" w:cs="Verdana"/>
        </w:rPr>
      </w:pPr>
      <w:r>
        <w:rPr>
          <w:rFonts w:ascii="Verdana" w:eastAsia="Verdana" w:hAnsi="Verdana" w:cs="Verdana"/>
        </w:rPr>
        <w:t>II - descumprir as condições da ata de registro de preços, sem justificativa aceitável;</w:t>
      </w:r>
    </w:p>
    <w:p w:rsidR="002E5C8A" w:rsidRDefault="00EB1172">
      <w:pPr>
        <w:spacing w:line="276" w:lineRule="auto"/>
        <w:jc w:val="both"/>
        <w:rPr>
          <w:rFonts w:ascii="Verdana" w:eastAsia="Verdana" w:hAnsi="Verdana" w:cs="Verdana"/>
        </w:rPr>
      </w:pPr>
      <w:r>
        <w:rPr>
          <w:rFonts w:ascii="Verdana" w:eastAsia="Verdana" w:hAnsi="Verdana" w:cs="Verdana"/>
        </w:rPr>
        <w:t>III - não aceitar reduzir o seu preço registrado, na hipótese deste se tornar superior àqueles praticados no mercado;</w:t>
      </w:r>
    </w:p>
    <w:p w:rsidR="002E5C8A" w:rsidRDefault="00EB1172">
      <w:pPr>
        <w:spacing w:line="276" w:lineRule="auto"/>
        <w:jc w:val="both"/>
        <w:rPr>
          <w:rFonts w:ascii="Verdana" w:eastAsia="Verdana" w:hAnsi="Verdana" w:cs="Verdana"/>
        </w:rPr>
      </w:pPr>
      <w:r>
        <w:rPr>
          <w:rFonts w:ascii="Verdana" w:eastAsia="Verdana" w:hAnsi="Verdana" w:cs="Verdana"/>
        </w:rPr>
        <w:t>IV - sofrer sanção prevista no inciso IV, do art. 150, da Lei nº 15.608, de 2007;</w:t>
      </w:r>
    </w:p>
    <w:p w:rsidR="002E5C8A" w:rsidRDefault="00EB1172">
      <w:pPr>
        <w:spacing w:line="276" w:lineRule="auto"/>
        <w:jc w:val="both"/>
        <w:rPr>
          <w:rFonts w:ascii="Verdana" w:eastAsia="Verdana" w:hAnsi="Verdana" w:cs="Verdana"/>
        </w:rPr>
      </w:pPr>
      <w:r>
        <w:rPr>
          <w:rFonts w:ascii="Verdana" w:eastAsia="Verdana" w:hAnsi="Verdana" w:cs="Verdana"/>
        </w:rPr>
        <w:t>V - demonstrar fato superveniente, decorrente de caso fortuito ou força maior, que prejudique o cumprimento da ata.</w:t>
      </w:r>
    </w:p>
    <w:p w:rsidR="002E5C8A" w:rsidRDefault="00EB1172">
      <w:pPr>
        <w:spacing w:line="276" w:lineRule="auto"/>
        <w:jc w:val="both"/>
        <w:rPr>
          <w:rFonts w:ascii="Verdana" w:eastAsia="Verdana" w:hAnsi="Verdana" w:cs="Verdana"/>
        </w:rPr>
      </w:pPr>
      <w:r>
        <w:rPr>
          <w:rFonts w:ascii="Verdana" w:eastAsia="Verdana" w:hAnsi="Verdana" w:cs="Verdana"/>
        </w:rPr>
        <w:t>7.2. A Ata de Registro de Preços poderá ser cancelada, total ou parcialmente,</w:t>
      </w:r>
      <w:proofErr w:type="gramStart"/>
      <w:r>
        <w:rPr>
          <w:rFonts w:ascii="Verdana" w:eastAsia="Verdana" w:hAnsi="Verdana" w:cs="Verdana"/>
        </w:rPr>
        <w:t xml:space="preserve">  </w:t>
      </w:r>
      <w:proofErr w:type="gramEnd"/>
      <w:r>
        <w:rPr>
          <w:rFonts w:ascii="Verdana" w:eastAsia="Verdana" w:hAnsi="Verdana" w:cs="Verdana"/>
        </w:rPr>
        <w:t>mediante prévia autorização do(a) Defensor(a) Público(a)-Geral do Estado do Paraná, não sendo possível a substituição por outro licitante integrante do cadastro de reserva de que trata o item 14.1.1 e seguintes do corpo do edital de licitação:</w:t>
      </w:r>
    </w:p>
    <w:p w:rsidR="002E5C8A" w:rsidRDefault="00EB1172">
      <w:pPr>
        <w:spacing w:line="276" w:lineRule="auto"/>
        <w:jc w:val="both"/>
        <w:rPr>
          <w:rFonts w:ascii="Verdana" w:eastAsia="Verdana" w:hAnsi="Verdana" w:cs="Verdana"/>
        </w:rPr>
      </w:pPr>
      <w:r>
        <w:rPr>
          <w:rFonts w:ascii="Verdana" w:eastAsia="Verdana" w:hAnsi="Verdana" w:cs="Verdana"/>
        </w:rPr>
        <w:t>I - pelo decurso do seu prazo de vigência;</w:t>
      </w:r>
    </w:p>
    <w:p w:rsidR="002E5C8A" w:rsidRDefault="00EB1172">
      <w:pPr>
        <w:spacing w:line="276" w:lineRule="auto"/>
        <w:jc w:val="both"/>
        <w:rPr>
          <w:rFonts w:ascii="Verdana" w:eastAsia="Verdana" w:hAnsi="Verdana" w:cs="Verdana"/>
        </w:rPr>
      </w:pPr>
      <w:r>
        <w:rPr>
          <w:rFonts w:ascii="Verdana" w:eastAsia="Verdana" w:hAnsi="Verdana" w:cs="Verdana"/>
        </w:rPr>
        <w:t>II - se não restarem fornecedores registrados;</w:t>
      </w:r>
    </w:p>
    <w:p w:rsidR="002E5C8A" w:rsidRDefault="00EB1172">
      <w:pPr>
        <w:spacing w:line="276" w:lineRule="auto"/>
        <w:jc w:val="both"/>
        <w:rPr>
          <w:rFonts w:ascii="Verdana" w:eastAsia="Verdana" w:hAnsi="Verdana" w:cs="Verdana"/>
        </w:rPr>
      </w:pPr>
      <w:r>
        <w:rPr>
          <w:rFonts w:ascii="Verdana" w:eastAsia="Verdana" w:hAnsi="Verdana" w:cs="Verdana"/>
        </w:rPr>
        <w:t xml:space="preserve">III - por fato superveniente, decorrente de caso fortuito ou força maior, que prejudique o cumprimento das obrigações previstas na ata, devidamente demonstrado; </w:t>
      </w:r>
      <w:proofErr w:type="gramStart"/>
      <w:r>
        <w:rPr>
          <w:rFonts w:ascii="Verdana" w:eastAsia="Verdana" w:hAnsi="Verdana" w:cs="Verdana"/>
        </w:rPr>
        <w:t>e</w:t>
      </w:r>
      <w:proofErr w:type="gramEnd"/>
    </w:p>
    <w:p w:rsidR="002E5C8A" w:rsidRDefault="00EB1172">
      <w:pPr>
        <w:spacing w:line="276" w:lineRule="auto"/>
        <w:jc w:val="both"/>
        <w:rPr>
          <w:rFonts w:ascii="Verdana" w:eastAsia="Verdana" w:hAnsi="Verdana" w:cs="Verdana"/>
        </w:rPr>
      </w:pPr>
      <w:r>
        <w:rPr>
          <w:rFonts w:ascii="Verdana" w:eastAsia="Verdana" w:hAnsi="Verdana" w:cs="Verdana"/>
        </w:rPr>
        <w:t xml:space="preserve">IV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2E5C8A" w:rsidRDefault="00EB1172">
      <w:pPr>
        <w:spacing w:line="276" w:lineRule="auto"/>
        <w:jc w:val="both"/>
        <w:rPr>
          <w:rFonts w:ascii="Verdana" w:eastAsia="Verdana" w:hAnsi="Verdana" w:cs="Verdana"/>
        </w:rPr>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rsidR="002E5C8A" w:rsidRDefault="00EB1172">
      <w:pPr>
        <w:spacing w:line="276" w:lineRule="auto"/>
        <w:jc w:val="both"/>
        <w:rPr>
          <w:rFonts w:ascii="Verdana" w:eastAsia="Verdana" w:hAnsi="Verdana" w:cs="Verdana"/>
        </w:rPr>
      </w:pPr>
      <w:r>
        <w:rPr>
          <w:rFonts w:ascii="Verdana" w:eastAsia="Verdana" w:hAnsi="Verdana" w:cs="Verdana"/>
        </w:rPr>
        <w:t>7.4. Nos casos relativos à revisão dos preços registrados e ao cancelamento da ata ou do preço registrado, a DPPR, mediante decisão fundamentada, poderá suspender preventivamente o registro do preço do fornecedor ou a ata de registro de preços.</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2E5C8A" w:rsidRDefault="00EB1172">
      <w:pPr>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1"/>
      </w:r>
      <w:r>
        <w:rPr>
          <w:rFonts w:ascii="Verdana" w:eastAsia="Verdana" w:hAnsi="Verdana" w:cs="Verdana"/>
        </w:rPr>
        <w:t>.</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9. LEGISLAÇÃO APLICÁVEL</w:t>
      </w:r>
    </w:p>
    <w:p w:rsidR="002E5C8A" w:rsidRDefault="00EB1172">
      <w:pPr>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2E5C8A" w:rsidRDefault="00EB1172">
      <w:pPr>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2E5C8A" w:rsidRDefault="00EB1172">
      <w:pPr>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 xml:space="preserve">O beneficiário do presente registro de preços assume o compromisso de fornecer os produtos objeto desta Ata, até as quantidades máximas referidas/estimadas, pelo preço </w:t>
      </w:r>
      <w:r>
        <w:rPr>
          <w:rFonts w:ascii="Verdana" w:eastAsia="Verdana" w:hAnsi="Verdana" w:cs="Verdana"/>
        </w:rPr>
        <w:lastRenderedPageBreak/>
        <w:t>registrado, durante o prazo de validade da Ata, em conformidade com o edital de licitação em epígrafe, do Pregão Eletrônico para Registro de Preços.</w:t>
      </w:r>
    </w:p>
    <w:p w:rsidR="002E5C8A" w:rsidRDefault="00EB1172">
      <w:pPr>
        <w:spacing w:line="276" w:lineRule="auto"/>
        <w:jc w:val="both"/>
        <w:rPr>
          <w:rFonts w:ascii="Verdana" w:eastAsia="Verdana" w:hAnsi="Verdana" w:cs="Verdana"/>
        </w:rPr>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2E5C8A" w:rsidRDefault="00EB1172">
      <w:pPr>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2E5C8A" w:rsidRDefault="002E5C8A">
      <w:pPr>
        <w:jc w:val="both"/>
        <w:rPr>
          <w:rFonts w:ascii="Verdana" w:eastAsia="Verdana" w:hAnsi="Verdana" w:cs="Verdana"/>
          <w:highlight w:val="green"/>
        </w:rPr>
      </w:pPr>
    </w:p>
    <w:p w:rsidR="002E5C8A" w:rsidRDefault="00EB1172">
      <w:pPr>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2021.</w:t>
      </w:r>
    </w:p>
    <w:p w:rsidR="002E5C8A" w:rsidRDefault="002E5C8A">
      <w:pPr>
        <w:jc w:val="both"/>
        <w:rPr>
          <w:rFonts w:ascii="Verdana" w:eastAsia="Verdana" w:hAnsi="Verdana" w:cs="Verdana"/>
        </w:rPr>
      </w:pPr>
    </w:p>
    <w:p w:rsidR="002E5C8A" w:rsidRDefault="002E5C8A">
      <w:pPr>
        <w:jc w:val="both"/>
        <w:rPr>
          <w:rFonts w:ascii="Verdana" w:eastAsia="Verdana" w:hAnsi="Verdana" w:cs="Verdana"/>
        </w:rPr>
      </w:pPr>
    </w:p>
    <w:p w:rsidR="002E5C8A" w:rsidRDefault="002E5C8A">
      <w:pPr>
        <w:jc w:val="both"/>
        <w:rPr>
          <w:rFonts w:ascii="Verdana" w:eastAsia="Verdana" w:hAnsi="Verdana" w:cs="Verdana"/>
        </w:rPr>
      </w:pPr>
    </w:p>
    <w:p w:rsidR="002E5C8A" w:rsidRDefault="00EB1172">
      <w:pPr>
        <w:jc w:val="both"/>
        <w:rPr>
          <w:rFonts w:ascii="Verdana" w:eastAsia="Verdana" w:hAnsi="Verdana" w:cs="Verdana"/>
        </w:rPr>
      </w:pPr>
      <w:r>
        <w:rPr>
          <w:rFonts w:ascii="Verdana" w:eastAsia="Verdana" w:hAnsi="Verdana" w:cs="Verdana"/>
        </w:rPr>
        <w:t>_________________________________________________</w:t>
      </w:r>
    </w:p>
    <w:p w:rsidR="002E5C8A" w:rsidRDefault="00EB1172">
      <w:pPr>
        <w:spacing w:line="276" w:lineRule="auto"/>
        <w:jc w:val="both"/>
        <w:rPr>
          <w:rFonts w:ascii="Verdana" w:eastAsia="Verdana" w:hAnsi="Verdana" w:cs="Verdana"/>
        </w:rPr>
      </w:pPr>
      <w:r>
        <w:rPr>
          <w:rFonts w:ascii="Verdana" w:eastAsia="Verdana" w:hAnsi="Verdana" w:cs="Verdana"/>
        </w:rPr>
        <w:t>Defensor Público-Geral</w:t>
      </w:r>
    </w:p>
    <w:p w:rsidR="002E5C8A" w:rsidRDefault="002E5C8A">
      <w:pPr>
        <w:jc w:val="both"/>
        <w:rPr>
          <w:rFonts w:ascii="Verdana" w:eastAsia="Verdana" w:hAnsi="Verdana" w:cs="Verdana"/>
        </w:rPr>
      </w:pPr>
    </w:p>
    <w:p w:rsidR="002E5C8A" w:rsidRDefault="002E5C8A">
      <w:pPr>
        <w:jc w:val="both"/>
        <w:rPr>
          <w:rFonts w:ascii="Verdana" w:eastAsia="Verdana" w:hAnsi="Verdana" w:cs="Verdana"/>
        </w:rPr>
      </w:pPr>
    </w:p>
    <w:p w:rsidR="002E5C8A" w:rsidRDefault="00EB1172">
      <w:pPr>
        <w:jc w:val="both"/>
        <w:rPr>
          <w:rFonts w:ascii="Verdana" w:eastAsia="Verdana" w:hAnsi="Verdana" w:cs="Verdana"/>
        </w:rPr>
      </w:pPr>
      <w:r>
        <w:rPr>
          <w:rFonts w:ascii="Verdana" w:eastAsia="Verdana" w:hAnsi="Verdana" w:cs="Verdana"/>
        </w:rPr>
        <w:t>___________________________________________________</w:t>
      </w:r>
    </w:p>
    <w:p w:rsidR="002E5C8A" w:rsidRDefault="00EB1172">
      <w:pPr>
        <w:spacing w:line="276" w:lineRule="auto"/>
        <w:jc w:val="both"/>
        <w:rPr>
          <w:rFonts w:ascii="Verdana" w:eastAsia="Verdana" w:hAnsi="Verdana" w:cs="Verdana"/>
        </w:rPr>
      </w:pPr>
      <w:r>
        <w:rPr>
          <w:rFonts w:ascii="Verdana" w:eastAsia="Verdana" w:hAnsi="Verdana" w:cs="Verdana"/>
        </w:rPr>
        <w:t>Nome da empresa</w:t>
      </w:r>
    </w:p>
    <w:p w:rsidR="002E5C8A" w:rsidRDefault="00EB1172">
      <w:pPr>
        <w:spacing w:line="276" w:lineRule="auto"/>
        <w:jc w:val="both"/>
        <w:rPr>
          <w:rFonts w:ascii="Verdana" w:eastAsia="Verdana" w:hAnsi="Verdana" w:cs="Verdana"/>
        </w:rPr>
      </w:pPr>
      <w:r>
        <w:rPr>
          <w:rFonts w:ascii="Verdana" w:eastAsia="Verdana" w:hAnsi="Verdana" w:cs="Verdana"/>
        </w:rPr>
        <w:t>Nome do Representante Legal</w:t>
      </w:r>
    </w:p>
    <w:p w:rsidR="002E5C8A" w:rsidRDefault="002E5C8A">
      <w:pPr>
        <w:spacing w:line="276" w:lineRule="auto"/>
        <w:jc w:val="both"/>
        <w:rPr>
          <w:rFonts w:ascii="Verdana" w:eastAsia="Verdana" w:hAnsi="Verdana" w:cs="Verdana"/>
        </w:rPr>
      </w:pPr>
    </w:p>
    <w:p w:rsidR="002E5C8A" w:rsidRDefault="002E5C8A">
      <w:pPr>
        <w:spacing w:line="276" w:lineRule="auto"/>
        <w:jc w:val="both"/>
        <w:rPr>
          <w:rFonts w:ascii="Verdana" w:eastAsia="Verdana" w:hAnsi="Verdana" w:cs="Verdana"/>
        </w:rPr>
      </w:pPr>
    </w:p>
    <w:p w:rsidR="002E5C8A" w:rsidRDefault="00EB1172">
      <w:pPr>
        <w:spacing w:line="276" w:lineRule="auto"/>
        <w:jc w:val="both"/>
        <w:rPr>
          <w:rFonts w:ascii="Verdana" w:eastAsia="Verdana" w:hAnsi="Verdana" w:cs="Verdana"/>
        </w:rPr>
      </w:pPr>
      <w:r>
        <w:rPr>
          <w:rFonts w:ascii="Verdana" w:eastAsia="Verdana" w:hAnsi="Verdana" w:cs="Verdana"/>
        </w:rPr>
        <w:t>TESTEMUNHAS</w:t>
      </w:r>
    </w:p>
    <w:p w:rsidR="002E5C8A" w:rsidRDefault="00EB1172">
      <w:pPr>
        <w:spacing w:line="276" w:lineRule="auto"/>
        <w:jc w:val="both"/>
        <w:rPr>
          <w:rFonts w:ascii="Verdana" w:eastAsia="Verdana" w:hAnsi="Verdana" w:cs="Verdana"/>
        </w:rPr>
      </w:pPr>
      <w:r>
        <w:rPr>
          <w:rFonts w:ascii="Verdana" w:eastAsia="Verdana" w:hAnsi="Verdana" w:cs="Verdana"/>
        </w:rPr>
        <w:t>Nome:                                                                               Nome:</w:t>
      </w:r>
    </w:p>
    <w:p w:rsidR="002E5C8A" w:rsidRDefault="00EB1172">
      <w:pPr>
        <w:spacing w:line="276" w:lineRule="auto"/>
        <w:jc w:val="both"/>
        <w:rPr>
          <w:rFonts w:ascii="Verdana" w:eastAsia="Verdana" w:hAnsi="Verdana" w:cs="Verdana"/>
          <w:b/>
        </w:rPr>
      </w:pPr>
      <w:r>
        <w:rPr>
          <w:rFonts w:ascii="Verdana" w:eastAsia="Verdana" w:hAnsi="Verdana" w:cs="Verdana"/>
        </w:rPr>
        <w:t>CPF:                                                                                  CPF:</w:t>
      </w:r>
    </w:p>
    <w:sectPr w:rsidR="002E5C8A" w:rsidSect="002E5C8A">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63" w:rsidRDefault="006C6B63" w:rsidP="002E5C8A">
      <w:r>
        <w:separator/>
      </w:r>
    </w:p>
  </w:endnote>
  <w:endnote w:type="continuationSeparator" w:id="0">
    <w:p w:rsidR="006C6B63" w:rsidRDefault="006C6B63" w:rsidP="002E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DA61E6" w:rsidRDefault="00DA61E6">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DA61E6" w:rsidRDefault="00DA61E6">
    <w:pPr>
      <w:pBdr>
        <w:top w:val="nil"/>
        <w:left w:val="nil"/>
        <w:bottom w:val="nil"/>
        <w:right w:val="nil"/>
        <w:between w:val="nil"/>
      </w:pBdr>
      <w:tabs>
        <w:tab w:val="center" w:pos="4419"/>
        <w:tab w:val="right" w:pos="8838"/>
      </w:tabs>
      <w:jc w:val="center"/>
      <w:rPr>
        <w:rFonts w:ascii="Tahoma" w:eastAsia="Tahoma" w:hAnsi="Tahoma" w:cs="Tahoma"/>
        <w:color w:val="808080"/>
      </w:rPr>
    </w:pPr>
  </w:p>
  <w:p w:rsidR="00DA61E6" w:rsidRDefault="00DA61E6">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rPr>
        <w:color w:val="000000"/>
      </w:rPr>
    </w:pPr>
  </w:p>
  <w:p w:rsidR="00DA61E6" w:rsidRDefault="00DA61E6">
    <w:pPr>
      <w:pBdr>
        <w:top w:val="nil"/>
        <w:left w:val="nil"/>
        <w:bottom w:val="nil"/>
        <w:right w:val="nil"/>
        <w:between w:val="nil"/>
      </w:pBdr>
      <w:tabs>
        <w:tab w:val="center" w:pos="4419"/>
        <w:tab w:val="right" w:pos="8838"/>
      </w:tabs>
      <w:rPr>
        <w:color w:val="000000"/>
        <w:sz w:val="2"/>
        <w:szCs w:val="2"/>
      </w:rPr>
    </w:pPr>
  </w:p>
  <w:p w:rsidR="00DA61E6" w:rsidRDefault="00DA61E6">
    <w:pPr>
      <w:pBdr>
        <w:top w:val="nil"/>
        <w:left w:val="nil"/>
        <w:bottom w:val="nil"/>
        <w:right w:val="nil"/>
        <w:between w:val="nil"/>
      </w:pBdr>
      <w:tabs>
        <w:tab w:val="center" w:pos="4419"/>
        <w:tab w:val="right" w:pos="8838"/>
      </w:tabs>
      <w:rPr>
        <w:color w:val="000000"/>
      </w:rPr>
    </w:pPr>
  </w:p>
  <w:p w:rsidR="00DA61E6" w:rsidRDefault="00DA61E6">
    <w:pPr>
      <w:pBdr>
        <w:top w:val="nil"/>
        <w:left w:val="nil"/>
        <w:bottom w:val="nil"/>
        <w:right w:val="nil"/>
        <w:between w:val="nil"/>
      </w:pBdr>
      <w:tabs>
        <w:tab w:val="center" w:pos="4419"/>
        <w:tab w:val="right" w:pos="8838"/>
      </w:tabs>
      <w:rPr>
        <w:color w:val="000000"/>
      </w:rPr>
    </w:pPr>
  </w:p>
  <w:p w:rsidR="00DA61E6" w:rsidRDefault="00DA61E6">
    <w:pPr>
      <w:pBdr>
        <w:top w:val="nil"/>
        <w:left w:val="nil"/>
        <w:bottom w:val="nil"/>
        <w:right w:val="nil"/>
        <w:between w:val="nil"/>
      </w:pBdr>
      <w:tabs>
        <w:tab w:val="center" w:pos="4419"/>
        <w:tab w:val="right" w:pos="8838"/>
      </w:tabs>
      <w:rPr>
        <w:color w:val="000000"/>
      </w:rPr>
    </w:pPr>
  </w:p>
  <w:p w:rsidR="00DA61E6" w:rsidRDefault="00DA61E6">
    <w:pPr>
      <w:pBdr>
        <w:top w:val="nil"/>
        <w:left w:val="nil"/>
        <w:bottom w:val="nil"/>
        <w:right w:val="nil"/>
        <w:between w:val="nil"/>
      </w:pBdr>
      <w:tabs>
        <w:tab w:val="center" w:pos="4419"/>
        <w:tab w:val="right" w:pos="8838"/>
      </w:tabs>
      <w:rPr>
        <w:color w:val="000000"/>
      </w:rPr>
    </w:pPr>
  </w:p>
  <w:p w:rsidR="00DA61E6" w:rsidRDefault="00DA61E6">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63" w:rsidRDefault="006C6B63" w:rsidP="002E5C8A">
      <w:r>
        <w:separator/>
      </w:r>
    </w:p>
  </w:footnote>
  <w:footnote w:type="continuationSeparator" w:id="0">
    <w:p w:rsidR="006C6B63" w:rsidRDefault="006C6B63" w:rsidP="002E5C8A">
      <w:r>
        <w:continuationSeparator/>
      </w:r>
    </w:p>
  </w:footnote>
  <w:footnote w:id="1">
    <w:p w:rsidR="00DA61E6" w:rsidRDefault="00DA61E6">
      <w:pPr>
        <w:pBdr>
          <w:top w:val="nil"/>
          <w:left w:val="nil"/>
          <w:bottom w:val="nil"/>
          <w:right w:val="nil"/>
          <w:between w:val="nil"/>
        </w:pBdr>
        <w:rPr>
          <w:color w:val="000000"/>
        </w:rPr>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jc w:val="right"/>
      <w:rPr>
        <w:color w:val="000000"/>
      </w:rPr>
    </w:pPr>
  </w:p>
  <w:p w:rsidR="00DA61E6" w:rsidRDefault="00DA61E6">
    <w:pPr>
      <w:pBdr>
        <w:top w:val="nil"/>
        <w:left w:val="nil"/>
        <w:bottom w:val="nil"/>
        <w:right w:val="nil"/>
        <w:between w:val="nil"/>
      </w:pBdr>
      <w:tabs>
        <w:tab w:val="center" w:pos="4419"/>
        <w:tab w:val="right" w:pos="8838"/>
      </w:tabs>
      <w:jc w:val="right"/>
      <w:rPr>
        <w:color w:val="000000"/>
      </w:rPr>
    </w:pPr>
    <w:r>
      <w:rPr>
        <w:color w:val="000000"/>
      </w:rPr>
      <w:t xml:space="preserve">Página </w:t>
    </w:r>
    <w:r w:rsidR="00FB2755">
      <w:rPr>
        <w:b/>
        <w:color w:val="000000"/>
        <w:sz w:val="24"/>
        <w:szCs w:val="24"/>
      </w:rPr>
      <w:fldChar w:fldCharType="begin"/>
    </w:r>
    <w:r>
      <w:rPr>
        <w:b/>
        <w:color w:val="000000"/>
        <w:sz w:val="24"/>
        <w:szCs w:val="24"/>
      </w:rPr>
      <w:instrText>PAGE</w:instrText>
    </w:r>
    <w:r w:rsidR="00FB2755">
      <w:rPr>
        <w:b/>
        <w:color w:val="000000"/>
        <w:sz w:val="24"/>
        <w:szCs w:val="24"/>
      </w:rPr>
      <w:fldChar w:fldCharType="end"/>
    </w:r>
    <w:r>
      <w:rPr>
        <w:color w:val="000000"/>
      </w:rPr>
      <w:t xml:space="preserve"> de </w:t>
    </w:r>
    <w:r w:rsidR="00FB2755">
      <w:rPr>
        <w:b/>
        <w:color w:val="000000"/>
        <w:sz w:val="24"/>
        <w:szCs w:val="24"/>
      </w:rPr>
      <w:fldChar w:fldCharType="begin"/>
    </w:r>
    <w:r>
      <w:rPr>
        <w:b/>
        <w:color w:val="000000"/>
        <w:sz w:val="24"/>
        <w:szCs w:val="24"/>
      </w:rPr>
      <w:instrText>NUMPAGES</w:instrText>
    </w:r>
    <w:r w:rsidR="00FB2755">
      <w:rPr>
        <w:b/>
        <w:color w:val="000000"/>
        <w:sz w:val="24"/>
        <w:szCs w:val="24"/>
      </w:rPr>
      <w:fldChar w:fldCharType="end"/>
    </w:r>
  </w:p>
  <w:p w:rsidR="00DA61E6" w:rsidRDefault="00DA61E6">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jc w:val="right"/>
      <w:rPr>
        <w:color w:val="000000"/>
      </w:rPr>
    </w:pPr>
  </w:p>
  <w:p w:rsidR="00DA61E6" w:rsidRDefault="00DA61E6">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FB2755">
      <w:rPr>
        <w:b/>
        <w:color w:val="000000"/>
        <w:sz w:val="24"/>
        <w:szCs w:val="24"/>
      </w:rPr>
      <w:fldChar w:fldCharType="begin"/>
    </w:r>
    <w:r>
      <w:rPr>
        <w:b/>
        <w:color w:val="000000"/>
        <w:sz w:val="24"/>
        <w:szCs w:val="24"/>
      </w:rPr>
      <w:instrText>PAGE</w:instrText>
    </w:r>
    <w:r w:rsidR="00FB2755">
      <w:rPr>
        <w:b/>
        <w:color w:val="000000"/>
        <w:sz w:val="24"/>
        <w:szCs w:val="24"/>
      </w:rPr>
      <w:fldChar w:fldCharType="separate"/>
    </w:r>
    <w:r w:rsidR="00D419ED">
      <w:rPr>
        <w:b/>
        <w:noProof/>
        <w:color w:val="000000"/>
        <w:sz w:val="24"/>
        <w:szCs w:val="24"/>
      </w:rPr>
      <w:t>24</w:t>
    </w:r>
    <w:r w:rsidR="00FB2755">
      <w:rPr>
        <w:b/>
        <w:color w:val="000000"/>
        <w:sz w:val="24"/>
        <w:szCs w:val="24"/>
      </w:rPr>
      <w:fldChar w:fldCharType="end"/>
    </w:r>
    <w:r>
      <w:rPr>
        <w:color w:val="000000"/>
      </w:rPr>
      <w:t xml:space="preserve"> de </w:t>
    </w:r>
    <w:r w:rsidR="00FB2755">
      <w:rPr>
        <w:b/>
        <w:color w:val="000000"/>
        <w:sz w:val="24"/>
        <w:szCs w:val="24"/>
      </w:rPr>
      <w:fldChar w:fldCharType="begin"/>
    </w:r>
    <w:r>
      <w:rPr>
        <w:b/>
        <w:color w:val="000000"/>
        <w:sz w:val="24"/>
        <w:szCs w:val="24"/>
      </w:rPr>
      <w:instrText>NUMPAGES</w:instrText>
    </w:r>
    <w:r w:rsidR="00FB2755">
      <w:rPr>
        <w:b/>
        <w:color w:val="000000"/>
        <w:sz w:val="24"/>
        <w:szCs w:val="24"/>
      </w:rPr>
      <w:fldChar w:fldCharType="separate"/>
    </w:r>
    <w:r w:rsidR="00D419ED">
      <w:rPr>
        <w:b/>
        <w:noProof/>
        <w:color w:val="000000"/>
        <w:sz w:val="24"/>
        <w:szCs w:val="24"/>
      </w:rPr>
      <w:t>39</w:t>
    </w:r>
    <w:r w:rsidR="00FB2755">
      <w:rPr>
        <w:b/>
        <w:color w:val="000000"/>
        <w:sz w:val="24"/>
        <w:szCs w:val="24"/>
      </w:rPr>
      <w:fldChar w:fldCharType="end"/>
    </w:r>
  </w:p>
  <w:p w:rsidR="00DA61E6" w:rsidRDefault="00DA61E6">
    <w:pPr>
      <w:tabs>
        <w:tab w:val="center" w:pos="4419"/>
        <w:tab w:val="right" w:pos="8838"/>
      </w:tabs>
      <w:jc w:val="center"/>
    </w:pPr>
    <w:r>
      <w:rPr>
        <w:noProof/>
        <w:lang w:eastAsia="pt-BR"/>
      </w:rPr>
      <w:drawing>
        <wp:inline distT="114300" distB="114300" distL="114300" distR="114300">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DA61E6" w:rsidRDefault="00DA61E6">
    <w:pPr>
      <w:tabs>
        <w:tab w:val="center" w:pos="4419"/>
        <w:tab w:val="right" w:pos="8838"/>
      </w:tabs>
      <w:jc w:val="center"/>
    </w:pPr>
  </w:p>
  <w:p w:rsidR="00DA61E6" w:rsidRDefault="00DA61E6">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6" w:rsidRDefault="00DA61E6">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189A"/>
    <w:multiLevelType w:val="multilevel"/>
    <w:tmpl w:val="09F694FE"/>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color w:val="000000"/>
      </w:rPr>
    </w:lvl>
    <w:lvl w:ilvl="2">
      <w:start w:val="1"/>
      <w:numFmt w:val="decimal"/>
      <w:lvlText w:val="%1.%2.%3."/>
      <w:lvlJc w:val="left"/>
      <w:pPr>
        <w:ind w:left="1080" w:hanging="720"/>
      </w:pPr>
      <w:rPr>
        <w:b w:val="0"/>
        <w:i w:val="0"/>
        <w:smallCaps w:val="0"/>
        <w:strike w:val="0"/>
        <w:u w:val="none"/>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2E5C8A"/>
    <w:rsid w:val="000A706B"/>
    <w:rsid w:val="002B2EC8"/>
    <w:rsid w:val="002E5C8A"/>
    <w:rsid w:val="00354CA7"/>
    <w:rsid w:val="003625D7"/>
    <w:rsid w:val="004948D7"/>
    <w:rsid w:val="005B5B1E"/>
    <w:rsid w:val="006C6B63"/>
    <w:rsid w:val="00731730"/>
    <w:rsid w:val="009153F0"/>
    <w:rsid w:val="00975CDC"/>
    <w:rsid w:val="00B473C6"/>
    <w:rsid w:val="00B700C0"/>
    <w:rsid w:val="00C86B71"/>
    <w:rsid w:val="00D419ED"/>
    <w:rsid w:val="00DA61E6"/>
    <w:rsid w:val="00E64912"/>
    <w:rsid w:val="00E9134F"/>
    <w:rsid w:val="00EB1172"/>
    <w:rsid w:val="00FB27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2E5C8A"/>
    <w:pPr>
      <w:keepNext/>
      <w:keepLines/>
      <w:spacing w:before="280" w:after="80"/>
      <w:outlineLvl w:val="2"/>
    </w:pPr>
    <w:rPr>
      <w:b/>
      <w:sz w:val="28"/>
      <w:szCs w:val="28"/>
    </w:rPr>
  </w:style>
  <w:style w:type="paragraph" w:styleId="Ttulo4">
    <w:name w:val="heading 4"/>
    <w:basedOn w:val="normal0"/>
    <w:next w:val="normal0"/>
    <w:rsid w:val="002E5C8A"/>
    <w:pPr>
      <w:keepNext/>
      <w:keepLines/>
      <w:spacing w:before="240" w:after="40"/>
      <w:outlineLvl w:val="3"/>
    </w:pPr>
    <w:rPr>
      <w:b/>
      <w:sz w:val="24"/>
      <w:szCs w:val="24"/>
    </w:rPr>
  </w:style>
  <w:style w:type="paragraph" w:styleId="Ttulo5">
    <w:name w:val="heading 5"/>
    <w:basedOn w:val="normal0"/>
    <w:next w:val="normal0"/>
    <w:rsid w:val="002E5C8A"/>
    <w:pPr>
      <w:keepNext/>
      <w:keepLines/>
      <w:spacing w:before="220" w:after="40"/>
      <w:outlineLvl w:val="4"/>
    </w:pPr>
    <w:rPr>
      <w:b/>
      <w:sz w:val="22"/>
      <w:szCs w:val="22"/>
    </w:rPr>
  </w:style>
  <w:style w:type="paragraph" w:styleId="Ttulo6">
    <w:name w:val="heading 6"/>
    <w:basedOn w:val="normal0"/>
    <w:next w:val="normal0"/>
    <w:rsid w:val="002E5C8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2E5C8A"/>
  </w:style>
  <w:style w:type="table" w:customStyle="1" w:styleId="TableNormal">
    <w:name w:val="Table Normal"/>
    <w:rsid w:val="002E5C8A"/>
    <w:tblPr>
      <w:tblCellMar>
        <w:top w:w="0" w:type="dxa"/>
        <w:left w:w="0" w:type="dxa"/>
        <w:bottom w:w="0" w:type="dxa"/>
        <w:right w:w="0" w:type="dxa"/>
      </w:tblCellMar>
    </w:tblPr>
  </w:style>
  <w:style w:type="paragraph" w:styleId="Ttulo">
    <w:name w:val="Title"/>
    <w:basedOn w:val="normal0"/>
    <w:next w:val="normal0"/>
    <w:rsid w:val="002E5C8A"/>
    <w:pPr>
      <w:keepNext/>
      <w:keepLines/>
      <w:spacing w:before="480" w:after="120"/>
    </w:pPr>
    <w:rPr>
      <w:b/>
      <w:sz w:val="72"/>
      <w:szCs w:val="72"/>
    </w:rPr>
  </w:style>
  <w:style w:type="paragraph" w:customStyle="1" w:styleId="normal0">
    <w:name w:val="normal"/>
    <w:rsid w:val="002E5C8A"/>
  </w:style>
  <w:style w:type="table" w:customStyle="1" w:styleId="TableNormal0">
    <w:name w:val="Table Normal"/>
    <w:rsid w:val="002E5C8A"/>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2E5C8A"/>
    <w:pPr>
      <w:keepNext/>
      <w:keepLines/>
      <w:spacing w:before="360" w:after="80"/>
    </w:pPr>
    <w:rPr>
      <w:rFonts w:ascii="Georgia" w:eastAsia="Georgia" w:hAnsi="Georgia" w:cs="Georgia"/>
      <w:i/>
      <w:color w:val="666666"/>
      <w:sz w:val="48"/>
      <w:szCs w:val="48"/>
    </w:rPr>
  </w:style>
  <w:style w:type="table" w:customStyle="1" w:styleId="a">
    <w:basedOn w:val="TableNormal0"/>
    <w:rsid w:val="002E5C8A"/>
    <w:tblPr>
      <w:tblStyleRowBandSize w:val="1"/>
      <w:tblStyleColBandSize w:val="1"/>
      <w:tblCellMar>
        <w:top w:w="0" w:type="dxa"/>
        <w:left w:w="108" w:type="dxa"/>
        <w:bottom w:w="0" w:type="dxa"/>
        <w:right w:w="108" w:type="dxa"/>
      </w:tblCellMar>
    </w:tblPr>
  </w:style>
  <w:style w:type="table" w:customStyle="1" w:styleId="a0">
    <w:basedOn w:val="TableNormal0"/>
    <w:rsid w:val="002E5C8A"/>
    <w:tblPr>
      <w:tblStyleRowBandSize w:val="1"/>
      <w:tblStyleColBandSize w:val="1"/>
      <w:tblCellMar>
        <w:top w:w="0" w:type="dxa"/>
        <w:left w:w="108" w:type="dxa"/>
        <w:bottom w:w="0" w:type="dxa"/>
        <w:right w:w="108" w:type="dxa"/>
      </w:tblCellMar>
    </w:tblPr>
  </w:style>
  <w:style w:type="table" w:customStyle="1" w:styleId="a1">
    <w:basedOn w:val="TableNormal0"/>
    <w:rsid w:val="002E5C8A"/>
    <w:tblPr>
      <w:tblStyleRowBandSize w:val="1"/>
      <w:tblStyleColBandSize w:val="1"/>
      <w:tblCellMar>
        <w:top w:w="0" w:type="dxa"/>
        <w:left w:w="108" w:type="dxa"/>
        <w:bottom w:w="0" w:type="dxa"/>
        <w:right w:w="108" w:type="dxa"/>
      </w:tblCellMar>
    </w:tblPr>
  </w:style>
  <w:style w:type="table" w:customStyle="1" w:styleId="a2">
    <w:basedOn w:val="TableNormal0"/>
    <w:rsid w:val="002E5C8A"/>
    <w:tblPr>
      <w:tblStyleRowBandSize w:val="1"/>
      <w:tblStyleColBandSize w:val="1"/>
      <w:tblCellMar>
        <w:top w:w="0" w:type="dxa"/>
        <w:left w:w="108" w:type="dxa"/>
        <w:bottom w:w="0" w:type="dxa"/>
        <w:right w:w="108" w:type="dxa"/>
      </w:tblCellMar>
    </w:tblPr>
  </w:style>
  <w:style w:type="table" w:customStyle="1" w:styleId="a3">
    <w:basedOn w:val="TableNormal0"/>
    <w:rsid w:val="002E5C8A"/>
    <w:tblPr>
      <w:tblStyleRowBandSize w:val="1"/>
      <w:tblStyleColBandSize w:val="1"/>
      <w:tblCellMar>
        <w:top w:w="57" w:type="dxa"/>
        <w:left w:w="57" w:type="dxa"/>
        <w:bottom w:w="57" w:type="dxa"/>
        <w:right w:w="57" w:type="dxa"/>
      </w:tblCellMar>
    </w:tblPr>
  </w:style>
  <w:style w:type="table" w:customStyle="1" w:styleId="a4">
    <w:basedOn w:val="TableNormal0"/>
    <w:rsid w:val="002E5C8A"/>
    <w:tblPr>
      <w:tblStyleRowBandSize w:val="1"/>
      <w:tblStyleColBandSize w:val="1"/>
      <w:tblCellMar>
        <w:top w:w="57" w:type="dxa"/>
        <w:left w:w="57" w:type="dxa"/>
        <w:bottom w:w="57" w:type="dxa"/>
        <w:right w:w="57" w:type="dxa"/>
      </w:tblCellMar>
    </w:tblPr>
  </w:style>
  <w:style w:type="table" w:customStyle="1" w:styleId="a5">
    <w:basedOn w:val="TableNormal0"/>
    <w:rsid w:val="002E5C8A"/>
    <w:tblPr>
      <w:tblStyleRowBandSize w:val="1"/>
      <w:tblStyleColBandSize w:val="1"/>
      <w:tblCellMar>
        <w:top w:w="57" w:type="dxa"/>
        <w:left w:w="57" w:type="dxa"/>
        <w:bottom w:w="57" w:type="dxa"/>
        <w:right w:w="57" w:type="dxa"/>
      </w:tblCellMar>
    </w:tblPr>
  </w:style>
  <w:style w:type="table" w:customStyle="1" w:styleId="a6">
    <w:basedOn w:val="TableNormal0"/>
    <w:rsid w:val="002E5C8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b91y2UMiPWs9CjQJzNcxcyRWGA==">AMUW2mUcsg/vzvbggPlbUV1S1psrGoUYuttg49iGGiVFFo77PMJqnlShmnA9iz+KGqbXh9BXwYZ34rA2yYIK7W3xBI3BlCxYL67oplHxLkZM+odJm7J6SaWo5ZXaCixH4RR0lspbuDHCVV4FqAk4+DwHCl5+TuElW7bI/qEZlbRDLCD2ZedOEp2ZAGbsapiZKzRLFafSsel1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5750</Words>
  <Characters>31056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2021-09-27T14:27:00Z</dcterms:created>
  <dcterms:modified xsi:type="dcterms:W3CDTF">2021-09-27T14:27:00Z</dcterms:modified>
</cp:coreProperties>
</file>