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DF" w:rsidRDefault="002A63DF">
      <w:pPr>
        <w:pStyle w:val="Corpodetexto"/>
        <w:spacing w:before="6"/>
        <w:rPr>
          <w:i w:val="0"/>
          <w:sz w:val="12"/>
        </w:rPr>
      </w:pPr>
    </w:p>
    <w:p w:rsidR="002A63DF" w:rsidRDefault="004C4EE3">
      <w:pPr>
        <w:pStyle w:val="Ttulo1"/>
        <w:spacing w:before="90"/>
        <w:ind w:left="119"/>
        <w:jc w:val="left"/>
      </w:pPr>
      <w:r>
        <w:t>Deliberação CSDP Nº. 20, de 07 de julho de 2017</w:t>
      </w:r>
    </w:p>
    <w:p w:rsidR="004C4EE3" w:rsidRPr="004C4EE3" w:rsidRDefault="004C4EE3">
      <w:pPr>
        <w:pStyle w:val="Ttulo1"/>
        <w:spacing w:before="90"/>
        <w:ind w:left="119"/>
        <w:jc w:val="left"/>
        <w:rPr>
          <w:b w:val="0"/>
          <w:bCs w:val="0"/>
          <w:color w:val="FF0000"/>
        </w:rPr>
      </w:pPr>
    </w:p>
    <w:p w:rsidR="002A63DF" w:rsidRDefault="004C4EE3" w:rsidP="004C4EE3">
      <w:pPr>
        <w:pStyle w:val="Ttulo1"/>
        <w:spacing w:before="90"/>
        <w:ind w:left="119"/>
        <w:jc w:val="left"/>
        <w:rPr>
          <w:b w:val="0"/>
          <w:i/>
          <w:sz w:val="20"/>
        </w:rPr>
      </w:pPr>
      <w:r w:rsidRPr="004C4EE3">
        <w:rPr>
          <w:b w:val="0"/>
          <w:bCs w:val="0"/>
          <w:color w:val="FF0000"/>
        </w:rPr>
        <w:t xml:space="preserve">Suspenso </w:t>
      </w:r>
      <w:r>
        <w:rPr>
          <w:b w:val="0"/>
          <w:bCs w:val="0"/>
          <w:color w:val="FF0000"/>
        </w:rPr>
        <w:t xml:space="preserve">o </w:t>
      </w:r>
      <w:r w:rsidRPr="004C4EE3">
        <w:rPr>
          <w:b w:val="0"/>
          <w:bCs w:val="0"/>
          <w:color w:val="FF0000"/>
        </w:rPr>
        <w:t xml:space="preserve">artigo 2° pela </w:t>
      </w:r>
      <w:r w:rsidRPr="004C4EE3">
        <w:rPr>
          <w:b w:val="0"/>
          <w:bCs w:val="0"/>
          <w:color w:val="FF0000"/>
        </w:rPr>
        <w:t>Deliberação CSDP nº 002, 26 de fevereiro de 2018</w:t>
      </w:r>
      <w:bookmarkStart w:id="0" w:name="_GoBack"/>
      <w:bookmarkEnd w:id="0"/>
    </w:p>
    <w:p w:rsidR="002A63DF" w:rsidRDefault="002A63DF">
      <w:pPr>
        <w:pStyle w:val="Corpodetexto"/>
        <w:spacing w:before="9"/>
        <w:rPr>
          <w:b/>
          <w:i w:val="0"/>
          <w:sz w:val="19"/>
        </w:rPr>
      </w:pPr>
    </w:p>
    <w:p w:rsidR="002A63DF" w:rsidRDefault="004C4EE3">
      <w:pPr>
        <w:pStyle w:val="Corpodetexto"/>
        <w:spacing w:before="90"/>
        <w:ind w:left="6213"/>
      </w:pPr>
      <w:r>
        <w:t>Altera a Deliberação nº.</w:t>
      </w:r>
      <w:r>
        <w:rPr>
          <w:spacing w:val="-6"/>
        </w:rPr>
        <w:t xml:space="preserve"> </w:t>
      </w:r>
      <w:r>
        <w:t>01/2015.</w:t>
      </w:r>
    </w:p>
    <w:p w:rsidR="002A63DF" w:rsidRDefault="002A63DF">
      <w:pPr>
        <w:pStyle w:val="Corpodetexto"/>
        <w:rPr>
          <w:sz w:val="26"/>
        </w:rPr>
      </w:pPr>
    </w:p>
    <w:p w:rsidR="002A63DF" w:rsidRDefault="002A63DF">
      <w:pPr>
        <w:pStyle w:val="Corpodetexto"/>
        <w:rPr>
          <w:sz w:val="26"/>
        </w:rPr>
      </w:pPr>
    </w:p>
    <w:p w:rsidR="002A63DF" w:rsidRDefault="002A63DF">
      <w:pPr>
        <w:pStyle w:val="Corpodetexto"/>
        <w:spacing w:before="1"/>
        <w:rPr>
          <w:sz w:val="32"/>
        </w:rPr>
      </w:pPr>
    </w:p>
    <w:p w:rsidR="002A63DF" w:rsidRDefault="004C4EE3">
      <w:pPr>
        <w:pStyle w:val="Ttulo1"/>
        <w:ind w:right="100"/>
        <w:rPr>
          <w:b w:val="0"/>
        </w:rPr>
      </w:pPr>
      <w:r>
        <w:t>O CONSELHO SUPERIOR DA  DEFENSORIA  PÚBLICA DO  ESTADO DO</w:t>
      </w:r>
      <w:r>
        <w:rPr>
          <w:spacing w:val="39"/>
        </w:rPr>
        <w:t xml:space="preserve"> </w:t>
      </w:r>
      <w:r>
        <w:t>PARANÁ</w:t>
      </w:r>
      <w:r>
        <w:rPr>
          <w:b w:val="0"/>
        </w:rPr>
        <w:t>,</w:t>
      </w:r>
    </w:p>
    <w:p w:rsidR="002A63DF" w:rsidRDefault="004C4EE3">
      <w:pPr>
        <w:pStyle w:val="Ttulo2"/>
        <w:spacing w:before="137" w:line="360" w:lineRule="auto"/>
        <w:ind w:right="103"/>
      </w:pPr>
      <w:r>
        <w:t xml:space="preserve">no uso de suas atribuições legais, com o poder normativo que lhe foi conferido pelo art. 102 da Lei Complementar Federal 80, de 12 de janeiro de 1994, com as alterações da Lei Complementar Federal 132, de 7 de outubro de 2009, bem como pelo art. 27 da Lei </w:t>
      </w:r>
      <w:r>
        <w:t>Complementar Estadual 136, de 19 de maio de 2011, com as alterações da Lei Complementar Estadual 142, de 23 de janeiro de</w:t>
      </w:r>
      <w:r>
        <w:rPr>
          <w:spacing w:val="-2"/>
        </w:rPr>
        <w:t xml:space="preserve"> </w:t>
      </w:r>
      <w:r>
        <w:t>2012,</w:t>
      </w: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spacing w:before="4"/>
        <w:rPr>
          <w:i w:val="0"/>
          <w:sz w:val="20"/>
        </w:rPr>
      </w:pPr>
    </w:p>
    <w:p w:rsidR="002A63DF" w:rsidRDefault="004C4EE3">
      <w:pPr>
        <w:ind w:left="112" w:right="99"/>
        <w:jc w:val="center"/>
        <w:rPr>
          <w:b/>
          <w:sz w:val="24"/>
        </w:rPr>
      </w:pPr>
      <w:r>
        <w:rPr>
          <w:b/>
          <w:sz w:val="24"/>
        </w:rPr>
        <w:t>DELIBERA</w:t>
      </w:r>
    </w:p>
    <w:p w:rsidR="002A63DF" w:rsidRDefault="002A63DF">
      <w:pPr>
        <w:pStyle w:val="Corpodetexto"/>
        <w:rPr>
          <w:b/>
          <w:i w:val="0"/>
          <w:sz w:val="26"/>
        </w:rPr>
      </w:pPr>
    </w:p>
    <w:p w:rsidR="002A63DF" w:rsidRDefault="002A63DF">
      <w:pPr>
        <w:pStyle w:val="Corpodetexto"/>
        <w:rPr>
          <w:b/>
          <w:i w:val="0"/>
          <w:sz w:val="26"/>
        </w:rPr>
      </w:pPr>
    </w:p>
    <w:p w:rsidR="002A63DF" w:rsidRDefault="002A63DF">
      <w:pPr>
        <w:pStyle w:val="Corpodetexto"/>
        <w:spacing w:before="8"/>
        <w:rPr>
          <w:b/>
          <w:i w:val="0"/>
          <w:sz w:val="31"/>
        </w:rPr>
      </w:pPr>
    </w:p>
    <w:p w:rsidR="002A63DF" w:rsidRDefault="004C4EE3">
      <w:pPr>
        <w:ind w:left="120"/>
        <w:jc w:val="both"/>
        <w:rPr>
          <w:sz w:val="24"/>
        </w:rPr>
      </w:pPr>
      <w:r>
        <w:rPr>
          <w:b/>
          <w:sz w:val="24"/>
        </w:rPr>
        <w:t xml:space="preserve">Art. 1º </w:t>
      </w:r>
      <w:r>
        <w:rPr>
          <w:sz w:val="24"/>
        </w:rPr>
        <w:t>– O Anexo III, da Deliberação nº 01/2015, passa a vigorar com as seguintes alterações:</w:t>
      </w: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2"/>
        </w:rPr>
      </w:pPr>
    </w:p>
    <w:p w:rsidR="002A63DF" w:rsidRDefault="004C4EE3">
      <w:pPr>
        <w:pStyle w:val="PargrafodaLista"/>
        <w:numPr>
          <w:ilvl w:val="0"/>
          <w:numId w:val="1"/>
        </w:numPr>
        <w:tabs>
          <w:tab w:val="left" w:pos="1966"/>
        </w:tabs>
        <w:spacing w:line="360" w:lineRule="auto"/>
        <w:ind w:firstLine="0"/>
        <w:rPr>
          <w:i/>
          <w:sz w:val="24"/>
        </w:rPr>
      </w:pPr>
      <w:r>
        <w:rPr>
          <w:i/>
          <w:sz w:val="24"/>
        </w:rPr>
        <w:t>– A 39ª Defensoria Pública de Curitiba passará a ter a seguinte redação: 39ª Defensoria Pública de Curitiba com atribuição para atuar no Núcleo de Atendimento Inicial do Cível, Fazenda Pública, Juizado Especial da Fazenda Pública; Registros Púbicos e Acide</w:t>
      </w:r>
      <w:r>
        <w:rPr>
          <w:i/>
          <w:sz w:val="24"/>
        </w:rPr>
        <w:t>ntes 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Trabalho;</w:t>
      </w:r>
    </w:p>
    <w:p w:rsidR="002A63DF" w:rsidRDefault="004C4EE3">
      <w:pPr>
        <w:pStyle w:val="PargrafodaLista"/>
        <w:numPr>
          <w:ilvl w:val="0"/>
          <w:numId w:val="1"/>
        </w:numPr>
        <w:tabs>
          <w:tab w:val="left" w:pos="2067"/>
        </w:tabs>
        <w:spacing w:before="170" w:line="360" w:lineRule="auto"/>
        <w:ind w:firstLine="0"/>
        <w:rPr>
          <w:i/>
          <w:sz w:val="24"/>
        </w:rPr>
      </w:pPr>
      <w:r>
        <w:rPr>
          <w:i/>
          <w:sz w:val="24"/>
        </w:rPr>
        <w:t>– A 40ª Defensoria Pública de Curitiba passará a ter a seguinte redação: 40ª Defensoria Pública de Curitiba com atribuição para atuar no Núcleo de Atendimento Inicial do Cível, Fazenda Pública, Juizado Especial da Fazenda Pública; Registr</w:t>
      </w:r>
      <w:r>
        <w:rPr>
          <w:i/>
          <w:sz w:val="24"/>
        </w:rPr>
        <w:t>os Púbicos e Acidentes 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Trabalho;</w:t>
      </w:r>
    </w:p>
    <w:p w:rsidR="002A63DF" w:rsidRDefault="004C4EE3">
      <w:pPr>
        <w:pStyle w:val="PargrafodaLista"/>
        <w:numPr>
          <w:ilvl w:val="0"/>
          <w:numId w:val="1"/>
        </w:numPr>
        <w:tabs>
          <w:tab w:val="left" w:pos="2141"/>
        </w:tabs>
        <w:spacing w:before="169" w:line="360" w:lineRule="auto"/>
        <w:ind w:right="102" w:firstLine="0"/>
        <w:rPr>
          <w:i/>
          <w:sz w:val="24"/>
        </w:rPr>
      </w:pPr>
      <w:r>
        <w:rPr>
          <w:i/>
          <w:sz w:val="24"/>
        </w:rPr>
        <w:t>– A 41ª Defensoria Pública de Curitiba passará a ter a seguinte redação: 41ª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Defensoria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Curitiba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atribuição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atuar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Núcleo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</w:p>
    <w:p w:rsidR="002A63DF" w:rsidRDefault="002A63DF">
      <w:pPr>
        <w:spacing w:line="360" w:lineRule="auto"/>
        <w:jc w:val="both"/>
        <w:rPr>
          <w:sz w:val="24"/>
        </w:rPr>
        <w:sectPr w:rsidR="002A63DF">
          <w:headerReference w:type="default" r:id="rId7"/>
          <w:footerReference w:type="default" r:id="rId8"/>
          <w:type w:val="continuous"/>
          <w:pgSz w:w="11900" w:h="16840"/>
          <w:pgMar w:top="2700" w:right="880" w:bottom="1560" w:left="1440" w:header="662" w:footer="1364" w:gutter="0"/>
          <w:cols w:space="720"/>
        </w:sectPr>
      </w:pPr>
    </w:p>
    <w:p w:rsidR="002A63DF" w:rsidRDefault="002A63DF">
      <w:pPr>
        <w:pStyle w:val="Corpodetexto"/>
        <w:spacing w:before="1"/>
        <w:rPr>
          <w:sz w:val="12"/>
        </w:rPr>
      </w:pPr>
    </w:p>
    <w:p w:rsidR="002A63DF" w:rsidRDefault="004C4EE3">
      <w:pPr>
        <w:pStyle w:val="Corpodetexto"/>
        <w:spacing w:before="90" w:line="360" w:lineRule="auto"/>
        <w:ind w:left="1821" w:right="100"/>
        <w:jc w:val="both"/>
      </w:pPr>
      <w:r>
        <w:t xml:space="preserve">Atendimento Inicial do Cível, Fazenda Pública, Juizado Especial da Fazenda </w:t>
      </w:r>
      <w:r>
        <w:t>Pública; Registros Púbicos e Acidentes do Trabalho;</w:t>
      </w:r>
    </w:p>
    <w:p w:rsidR="002A63DF" w:rsidRDefault="004C4EE3">
      <w:pPr>
        <w:pStyle w:val="PargrafodaLista"/>
        <w:numPr>
          <w:ilvl w:val="0"/>
          <w:numId w:val="1"/>
        </w:numPr>
        <w:tabs>
          <w:tab w:val="left" w:pos="2134"/>
        </w:tabs>
        <w:spacing w:before="171" w:line="360" w:lineRule="auto"/>
        <w:ind w:firstLine="0"/>
        <w:rPr>
          <w:i/>
          <w:sz w:val="24"/>
        </w:rPr>
      </w:pPr>
      <w:r>
        <w:rPr>
          <w:i/>
          <w:sz w:val="24"/>
        </w:rPr>
        <w:t>- A 42ª Defensoria Pública de Curitiba passará a ter a seguinte redação: 42ª Defensoria Pública de Curitiba com atribuição para atuar no Núcleo de Atendimento Inicial do Cível, Fazenda Pública, Juizado Especial da Fazenda Pública; Registros Púbicos e Acide</w:t>
      </w:r>
      <w:r>
        <w:rPr>
          <w:i/>
          <w:sz w:val="24"/>
        </w:rPr>
        <w:t>ntes 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Trabalho.</w:t>
      </w:r>
    </w:p>
    <w:p w:rsidR="002A63DF" w:rsidRDefault="002A63DF">
      <w:pPr>
        <w:pStyle w:val="Corpodetexto"/>
        <w:rPr>
          <w:sz w:val="26"/>
        </w:rPr>
      </w:pPr>
    </w:p>
    <w:p w:rsidR="002A63DF" w:rsidRDefault="002A63DF">
      <w:pPr>
        <w:pStyle w:val="Corpodetexto"/>
        <w:rPr>
          <w:sz w:val="26"/>
        </w:rPr>
      </w:pPr>
    </w:p>
    <w:p w:rsidR="002A63DF" w:rsidRPr="004C4EE3" w:rsidRDefault="004C4EE3">
      <w:pPr>
        <w:pStyle w:val="Ttulo2"/>
        <w:spacing w:before="156" w:line="360" w:lineRule="auto"/>
        <w:ind w:left="119"/>
        <w:jc w:val="left"/>
        <w:rPr>
          <w:color w:val="FF0000"/>
        </w:rPr>
      </w:pPr>
      <w:r w:rsidRPr="004C4EE3">
        <w:rPr>
          <w:b/>
          <w:strike/>
        </w:rPr>
        <w:t xml:space="preserve">Art. 2º </w:t>
      </w:r>
      <w:r w:rsidRPr="004C4EE3">
        <w:rPr>
          <w:strike/>
        </w:rPr>
        <w:t>– Incluem-se os artigos 5º-A, 5º-B e 5º-C na Deliberação nº 01/2015, com a seguinte redação:</w:t>
      </w:r>
      <w:r>
        <w:rPr>
          <w:strike/>
        </w:rPr>
        <w:t xml:space="preserve"> </w:t>
      </w:r>
      <w:r w:rsidRPr="004C4EE3">
        <w:rPr>
          <w:color w:val="FF0000"/>
        </w:rPr>
        <w:t xml:space="preserve">Suspenso pela </w:t>
      </w:r>
      <w:r w:rsidRPr="004C4EE3">
        <w:rPr>
          <w:color w:val="FF0000"/>
        </w:rPr>
        <w:t>Deliberação CSDP nº 002, 26 de fevereiro de 2018.</w:t>
      </w:r>
    </w:p>
    <w:p w:rsidR="002A63DF" w:rsidRPr="004C4EE3" w:rsidRDefault="002A63DF">
      <w:pPr>
        <w:pStyle w:val="Corpodetexto"/>
        <w:spacing w:before="10"/>
        <w:rPr>
          <w:i w:val="0"/>
          <w:strike/>
          <w:sz w:val="35"/>
        </w:rPr>
      </w:pPr>
    </w:p>
    <w:p w:rsidR="002A63DF" w:rsidRPr="004C4EE3" w:rsidRDefault="004C4EE3">
      <w:pPr>
        <w:pStyle w:val="Corpodetexto"/>
        <w:spacing w:line="360" w:lineRule="auto"/>
        <w:ind w:left="1821" w:right="102"/>
        <w:jc w:val="both"/>
        <w:rPr>
          <w:strike/>
        </w:rPr>
      </w:pPr>
      <w:r w:rsidRPr="004C4EE3">
        <w:rPr>
          <w:strike/>
        </w:rPr>
        <w:t xml:space="preserve">Art. 5º – A. As Defensorias Públicas com atribuição dos Núcleos de </w:t>
      </w:r>
      <w:r w:rsidRPr="004C4EE3">
        <w:rPr>
          <w:strike/>
        </w:rPr>
        <w:t>Atendimento Inicial serão responsáveis pela elaboração das petições</w:t>
      </w:r>
      <w:r w:rsidRPr="004C4EE3">
        <w:rPr>
          <w:strike/>
        </w:rPr>
        <w:t xml:space="preserve"> e demais documentos diretamente decorrentes do atendimento, bem como o devido protocolo.</w:t>
      </w:r>
    </w:p>
    <w:p w:rsidR="002A63DF" w:rsidRPr="004C4EE3" w:rsidRDefault="002A63DF">
      <w:pPr>
        <w:pStyle w:val="Corpodetexto"/>
        <w:spacing w:before="1"/>
        <w:rPr>
          <w:strike/>
          <w:sz w:val="36"/>
        </w:rPr>
      </w:pPr>
    </w:p>
    <w:p w:rsidR="002A63DF" w:rsidRPr="004C4EE3" w:rsidRDefault="004C4EE3">
      <w:pPr>
        <w:pStyle w:val="Corpodetexto"/>
        <w:spacing w:line="360" w:lineRule="auto"/>
        <w:ind w:left="1821" w:right="100"/>
        <w:jc w:val="both"/>
        <w:rPr>
          <w:strike/>
        </w:rPr>
      </w:pPr>
      <w:r w:rsidRPr="004C4EE3">
        <w:rPr>
          <w:strike/>
        </w:rPr>
        <w:t xml:space="preserve">Parágrafo único. As demais defensorias públicas com atribuição em matéria </w:t>
      </w:r>
      <w:r w:rsidRPr="004C4EE3">
        <w:rPr>
          <w:strike/>
        </w:rPr>
        <w:t>correlata não ficam excluídas de atendimento ao usuário.</w:t>
      </w:r>
    </w:p>
    <w:p w:rsidR="002A63DF" w:rsidRPr="004C4EE3" w:rsidRDefault="002A63DF">
      <w:pPr>
        <w:pStyle w:val="Corpodetexto"/>
        <w:spacing w:before="11"/>
        <w:rPr>
          <w:strike/>
          <w:sz w:val="35"/>
        </w:rPr>
      </w:pPr>
    </w:p>
    <w:p w:rsidR="002A63DF" w:rsidRPr="004C4EE3" w:rsidRDefault="004C4EE3">
      <w:pPr>
        <w:pStyle w:val="Corpodetexto"/>
        <w:spacing w:line="360" w:lineRule="auto"/>
        <w:ind w:left="1821" w:right="101"/>
        <w:jc w:val="both"/>
        <w:rPr>
          <w:strike/>
        </w:rPr>
      </w:pPr>
      <w:r w:rsidRPr="004C4EE3">
        <w:rPr>
          <w:strike/>
        </w:rPr>
        <w:t xml:space="preserve">Art. 5º – B. As Defensorias Públicas com atribuição para atuar nos Núcleos de </w:t>
      </w:r>
      <w:r w:rsidRPr="004C4EE3">
        <w:rPr>
          <w:strike/>
        </w:rPr>
        <w:t>atendimento inicial limitar-se-ão a atender e peticionar nas demandas em que haja Defensoria Pública preenchida com atri</w:t>
      </w:r>
      <w:r w:rsidRPr="004C4EE3">
        <w:rPr>
          <w:strike/>
        </w:rPr>
        <w:t>buição para dar continuidade na demanda pela via judicial.</w:t>
      </w:r>
    </w:p>
    <w:p w:rsidR="002A63DF" w:rsidRPr="004C4EE3" w:rsidRDefault="002A63DF">
      <w:pPr>
        <w:pStyle w:val="Corpodetexto"/>
        <w:spacing w:before="1"/>
        <w:rPr>
          <w:strike/>
          <w:sz w:val="36"/>
        </w:rPr>
      </w:pPr>
    </w:p>
    <w:p w:rsidR="002A63DF" w:rsidRPr="004C4EE3" w:rsidRDefault="004C4EE3">
      <w:pPr>
        <w:pStyle w:val="Corpodetexto"/>
        <w:spacing w:line="360" w:lineRule="auto"/>
        <w:ind w:left="1821" w:right="100"/>
        <w:jc w:val="both"/>
        <w:rPr>
          <w:i w:val="0"/>
          <w:strike/>
        </w:rPr>
      </w:pPr>
      <w:r w:rsidRPr="004C4EE3">
        <w:rPr>
          <w:strike/>
        </w:rPr>
        <w:t xml:space="preserve">Art. 5º - C. As Defensorias Públicas com atribuição de atuar nos Núcleos de </w:t>
      </w:r>
      <w:r w:rsidRPr="004C4EE3">
        <w:rPr>
          <w:strike/>
        </w:rPr>
        <w:t xml:space="preserve">atendimento inicial ficam responsáveis pelo primeiro atendimento do usuário, tanto de autor quanto de réu, inclusive </w:t>
      </w:r>
      <w:r w:rsidRPr="004C4EE3">
        <w:rPr>
          <w:i w:val="0"/>
          <w:strike/>
        </w:rPr>
        <w:t>a a</w:t>
      </w:r>
      <w:r w:rsidRPr="004C4EE3">
        <w:rPr>
          <w:i w:val="0"/>
          <w:strike/>
        </w:rPr>
        <w:t>tuação extrajudicial.</w:t>
      </w:r>
    </w:p>
    <w:p w:rsidR="002A63DF" w:rsidRPr="004C4EE3" w:rsidRDefault="002A63DF">
      <w:pPr>
        <w:spacing w:line="360" w:lineRule="auto"/>
        <w:jc w:val="both"/>
        <w:rPr>
          <w:strike/>
        </w:rPr>
        <w:sectPr w:rsidR="002A63DF" w:rsidRPr="004C4EE3">
          <w:pgSz w:w="11900" w:h="16840"/>
          <w:pgMar w:top="2700" w:right="880" w:bottom="1560" w:left="1440" w:header="662" w:footer="1364" w:gutter="0"/>
          <w:cols w:space="720"/>
        </w:sectPr>
      </w:pPr>
    </w:p>
    <w:p w:rsidR="002A63DF" w:rsidRPr="004C4EE3" w:rsidRDefault="002A63DF">
      <w:pPr>
        <w:pStyle w:val="Corpodetexto"/>
        <w:spacing w:before="1"/>
        <w:rPr>
          <w:i w:val="0"/>
          <w:strike/>
          <w:sz w:val="12"/>
        </w:rPr>
      </w:pPr>
    </w:p>
    <w:p w:rsidR="002A63DF" w:rsidRPr="004C4EE3" w:rsidRDefault="004C4EE3">
      <w:pPr>
        <w:pStyle w:val="Corpodetexto"/>
        <w:spacing w:before="90" w:line="360" w:lineRule="auto"/>
        <w:ind w:left="1821" w:right="100"/>
        <w:jc w:val="both"/>
        <w:rPr>
          <w:strike/>
        </w:rPr>
      </w:pPr>
      <w:r w:rsidRPr="004C4EE3">
        <w:rPr>
          <w:strike/>
        </w:rPr>
        <w:t xml:space="preserve">Parágrafo único. Fica excluída da atribuição dos Núcleos de atendimento </w:t>
      </w:r>
      <w:r w:rsidRPr="004C4EE3">
        <w:rPr>
          <w:strike/>
        </w:rPr>
        <w:t>inicial o atendimento de acompanhamento processual, incluindo-se neste as emendas às iniciais.</w:t>
      </w:r>
    </w:p>
    <w:p w:rsidR="002A63DF" w:rsidRDefault="002A63DF">
      <w:pPr>
        <w:pStyle w:val="Corpodetexto"/>
        <w:rPr>
          <w:sz w:val="36"/>
        </w:rPr>
      </w:pPr>
    </w:p>
    <w:p w:rsidR="002A63DF" w:rsidRDefault="004C4EE3">
      <w:pPr>
        <w:pStyle w:val="Ttulo2"/>
        <w:spacing w:line="360" w:lineRule="auto"/>
        <w:ind w:right="104"/>
      </w:pPr>
      <w:r>
        <w:rPr>
          <w:b/>
        </w:rPr>
        <w:t>Art. 3º</w:t>
      </w:r>
      <w:r>
        <w:t>. – A Secretaria do Conselho Superior pr</w:t>
      </w:r>
      <w:r>
        <w:t>ovidenciará versão digital consolidada da Deliberação nº. 01/2015, com todas as alterações e inclusões constantes de um mesmo documento.</w:t>
      </w:r>
    </w:p>
    <w:p w:rsidR="002A63DF" w:rsidRDefault="004C4EE3">
      <w:pPr>
        <w:spacing w:before="2" w:line="360" w:lineRule="auto"/>
        <w:ind w:left="119" w:right="102"/>
        <w:jc w:val="both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>– Esta deliberação terá a vigência condicionada a implantação da plataforma digital AUDORA no Centro de Atendim</w:t>
      </w:r>
      <w:r>
        <w:rPr>
          <w:sz w:val="24"/>
        </w:rPr>
        <w:t>ento Multidisciplinar de Curitiba, bem como a existência da designação de membro para a ocupação de ao menos duas das Defensorias Públicas criadas nesta deliberação.</w:t>
      </w: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spacing w:before="10"/>
        <w:rPr>
          <w:i w:val="0"/>
          <w:sz w:val="29"/>
        </w:rPr>
      </w:pPr>
    </w:p>
    <w:p w:rsidR="002A63DF" w:rsidRDefault="004C4EE3">
      <w:pPr>
        <w:ind w:left="112" w:right="100"/>
        <w:jc w:val="center"/>
        <w:rPr>
          <w:sz w:val="24"/>
        </w:rPr>
      </w:pPr>
      <w:r>
        <w:rPr>
          <w:sz w:val="24"/>
        </w:rPr>
        <w:t>Curitiba, 07 de julho de 2017.</w:t>
      </w: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2A63DF">
      <w:pPr>
        <w:pStyle w:val="Corpodetexto"/>
        <w:rPr>
          <w:i w:val="0"/>
          <w:sz w:val="26"/>
        </w:rPr>
      </w:pPr>
    </w:p>
    <w:p w:rsidR="002A63DF" w:rsidRDefault="004C4EE3">
      <w:pPr>
        <w:spacing w:before="187" w:line="274" w:lineRule="exact"/>
        <w:ind w:left="112" w:right="97"/>
        <w:jc w:val="center"/>
        <w:rPr>
          <w:b/>
          <w:sz w:val="24"/>
        </w:rPr>
      </w:pPr>
      <w:r>
        <w:rPr>
          <w:b/>
          <w:sz w:val="24"/>
        </w:rPr>
        <w:t>SÉRGIO ROBERTO RODRIGUES PARIGOT DE SOUZA</w:t>
      </w:r>
    </w:p>
    <w:p w:rsidR="002A63DF" w:rsidRDefault="004C4EE3">
      <w:pPr>
        <w:spacing w:line="274" w:lineRule="exact"/>
        <w:ind w:left="112" w:right="99"/>
        <w:jc w:val="center"/>
        <w:rPr>
          <w:sz w:val="24"/>
        </w:rPr>
      </w:pPr>
      <w:r>
        <w:rPr>
          <w:sz w:val="24"/>
        </w:rPr>
        <w:t>Presidente do Conselho Superior da Defensoria Pública</w:t>
      </w:r>
    </w:p>
    <w:sectPr w:rsidR="002A63DF">
      <w:pgSz w:w="11900" w:h="16840"/>
      <w:pgMar w:top="2700" w:right="880" w:bottom="1560" w:left="1440" w:header="662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4EE3">
      <w:r>
        <w:separator/>
      </w:r>
    </w:p>
  </w:endnote>
  <w:endnote w:type="continuationSeparator" w:id="0">
    <w:p w:rsidR="00000000" w:rsidRDefault="004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DF" w:rsidRDefault="00461DF6">
    <w:pPr>
      <w:pStyle w:val="Corpodetex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9654540</wp:posOffset>
              </wp:positionV>
              <wp:extent cx="57607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00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EC12B" id="Line 2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60.2pt" to="538.7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" strokeweight=".277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2708910</wp:posOffset>
              </wp:positionH>
              <wp:positionV relativeFrom="page">
                <wp:posOffset>9771380</wp:posOffset>
              </wp:positionV>
              <wp:extent cx="2503805" cy="517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3DF" w:rsidRDefault="004C4EE3">
                          <w:pPr>
                            <w:spacing w:before="21"/>
                            <w:ind w:left="18" w:right="18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DEFENSORIA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PÚBLICA DO ESTADO DO PARANÁ</w:t>
                          </w:r>
                        </w:p>
                        <w:p w:rsidR="002A63DF" w:rsidRDefault="004C4EE3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Rua Cruz Machado, nº 58, 15º andar - CEP 80.410-170 (041) 3219-7379</w:t>
                          </w:r>
                        </w:p>
                        <w:p w:rsidR="002A63DF" w:rsidRDefault="004C4EE3">
                          <w:pPr>
                            <w:ind w:left="18" w:right="18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Centro – Curitiba – 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3.3pt;margin-top:769.4pt;width:197.15pt;height:40.7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" filled="f" stroked="f">
              <v:textbox inset="0,0,0,0">
                <w:txbxContent>
                  <w:p w:rsidR="002A63DF" w:rsidRDefault="004C4EE3">
                    <w:pPr>
                      <w:spacing w:before="21"/>
                      <w:ind w:left="18" w:right="18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 xml:space="preserve">DEFENSORIA </w:t>
                    </w:r>
                    <w:r>
                      <w:rPr>
                        <w:rFonts w:ascii="Tahoma" w:hAnsi="Tahoma"/>
                        <w:sz w:val="16"/>
                      </w:rPr>
                      <w:t>PÚBLICA DO ESTADO DO PARANÁ</w:t>
                    </w:r>
                  </w:p>
                  <w:p w:rsidR="002A63DF" w:rsidRDefault="004C4EE3">
                    <w:pPr>
                      <w:spacing w:before="1"/>
                      <w:ind w:left="19" w:right="18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Rua Cruz Machado, nº 58, 15º andar - CEP 80.410-170 (041) 3219-7379</w:t>
                    </w:r>
                  </w:p>
                  <w:p w:rsidR="002A63DF" w:rsidRDefault="004C4EE3">
                    <w:pPr>
                      <w:ind w:left="18" w:right="18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Centro – Curitiba –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4EE3">
      <w:r>
        <w:separator/>
      </w:r>
    </w:p>
  </w:footnote>
  <w:footnote w:type="continuationSeparator" w:id="0">
    <w:p w:rsidR="00000000" w:rsidRDefault="004C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DF" w:rsidRDefault="004C4EE3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3517391</wp:posOffset>
          </wp:positionH>
          <wp:positionV relativeFrom="page">
            <wp:posOffset>420619</wp:posOffset>
          </wp:positionV>
          <wp:extent cx="886967" cy="8046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967" cy="804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DF6"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1708150</wp:posOffset>
              </wp:positionV>
              <wp:extent cx="597725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72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D9E14" id="Rectangle 4" o:spid="_x0000_s1026" style="position:absolute;margin-left:76.55pt;margin-top:134.5pt;width:470.65pt;height:.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 w:rsidR="00461DF6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1291590</wp:posOffset>
              </wp:positionV>
              <wp:extent cx="3026410" cy="3403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3DF" w:rsidRDefault="004C4EE3">
                          <w:pPr>
                            <w:spacing w:before="10" w:line="23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DEFENSORIA PÚBLICA DO ESTADO DO PARANÁ</w:t>
                          </w:r>
                        </w:p>
                        <w:p w:rsidR="002A63DF" w:rsidRDefault="004C4EE3">
                          <w:pPr>
                            <w:spacing w:line="27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7pt;margin-top:101.7pt;width:238.3pt;height:26.8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" filled="f" stroked="f">
              <v:textbox inset="0,0,0,0">
                <w:txbxContent>
                  <w:p w:rsidR="002A63DF" w:rsidRDefault="004C4EE3">
                    <w:pPr>
                      <w:spacing w:before="10" w:line="230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DEFENSORIA PÚBLICA DO ESTADO DO PARANÁ</w:t>
                    </w:r>
                  </w:p>
                  <w:p w:rsidR="002A63DF" w:rsidRDefault="004C4EE3">
                    <w:pPr>
                      <w:spacing w:line="276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D4F83"/>
    <w:multiLevelType w:val="hybridMultilevel"/>
    <w:tmpl w:val="1190259A"/>
    <w:lvl w:ilvl="0" w:tplc="D370E75C">
      <w:start w:val="1"/>
      <w:numFmt w:val="upperRoman"/>
      <w:lvlText w:val="%1"/>
      <w:lvlJc w:val="left"/>
      <w:pPr>
        <w:ind w:left="1821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t-PT" w:eastAsia="en-US" w:bidi="ar-SA"/>
      </w:rPr>
    </w:lvl>
    <w:lvl w:ilvl="1" w:tplc="63C29E14">
      <w:numFmt w:val="bullet"/>
      <w:lvlText w:val="•"/>
      <w:lvlJc w:val="left"/>
      <w:pPr>
        <w:ind w:left="2596" w:hanging="144"/>
      </w:pPr>
      <w:rPr>
        <w:rFonts w:hint="default"/>
        <w:lang w:val="pt-PT" w:eastAsia="en-US" w:bidi="ar-SA"/>
      </w:rPr>
    </w:lvl>
    <w:lvl w:ilvl="2" w:tplc="FAA4EE8C">
      <w:numFmt w:val="bullet"/>
      <w:lvlText w:val="•"/>
      <w:lvlJc w:val="left"/>
      <w:pPr>
        <w:ind w:left="3372" w:hanging="144"/>
      </w:pPr>
      <w:rPr>
        <w:rFonts w:hint="default"/>
        <w:lang w:val="pt-PT" w:eastAsia="en-US" w:bidi="ar-SA"/>
      </w:rPr>
    </w:lvl>
    <w:lvl w:ilvl="3" w:tplc="FC2CABB4">
      <w:numFmt w:val="bullet"/>
      <w:lvlText w:val="•"/>
      <w:lvlJc w:val="left"/>
      <w:pPr>
        <w:ind w:left="4148" w:hanging="144"/>
      </w:pPr>
      <w:rPr>
        <w:rFonts w:hint="default"/>
        <w:lang w:val="pt-PT" w:eastAsia="en-US" w:bidi="ar-SA"/>
      </w:rPr>
    </w:lvl>
    <w:lvl w:ilvl="4" w:tplc="8F68F306">
      <w:numFmt w:val="bullet"/>
      <w:lvlText w:val="•"/>
      <w:lvlJc w:val="left"/>
      <w:pPr>
        <w:ind w:left="4924" w:hanging="144"/>
      </w:pPr>
      <w:rPr>
        <w:rFonts w:hint="default"/>
        <w:lang w:val="pt-PT" w:eastAsia="en-US" w:bidi="ar-SA"/>
      </w:rPr>
    </w:lvl>
    <w:lvl w:ilvl="5" w:tplc="E174D080">
      <w:numFmt w:val="bullet"/>
      <w:lvlText w:val="•"/>
      <w:lvlJc w:val="left"/>
      <w:pPr>
        <w:ind w:left="5700" w:hanging="144"/>
      </w:pPr>
      <w:rPr>
        <w:rFonts w:hint="default"/>
        <w:lang w:val="pt-PT" w:eastAsia="en-US" w:bidi="ar-SA"/>
      </w:rPr>
    </w:lvl>
    <w:lvl w:ilvl="6" w:tplc="55B80232">
      <w:numFmt w:val="bullet"/>
      <w:lvlText w:val="•"/>
      <w:lvlJc w:val="left"/>
      <w:pPr>
        <w:ind w:left="6476" w:hanging="144"/>
      </w:pPr>
      <w:rPr>
        <w:rFonts w:hint="default"/>
        <w:lang w:val="pt-PT" w:eastAsia="en-US" w:bidi="ar-SA"/>
      </w:rPr>
    </w:lvl>
    <w:lvl w:ilvl="7" w:tplc="708E5B32">
      <w:numFmt w:val="bullet"/>
      <w:lvlText w:val="•"/>
      <w:lvlJc w:val="left"/>
      <w:pPr>
        <w:ind w:left="7252" w:hanging="144"/>
      </w:pPr>
      <w:rPr>
        <w:rFonts w:hint="default"/>
        <w:lang w:val="pt-PT" w:eastAsia="en-US" w:bidi="ar-SA"/>
      </w:rPr>
    </w:lvl>
    <w:lvl w:ilvl="8" w:tplc="063223CE">
      <w:numFmt w:val="bullet"/>
      <w:lvlText w:val="•"/>
      <w:lvlJc w:val="left"/>
      <w:pPr>
        <w:ind w:left="8028" w:hanging="1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DF"/>
    <w:rsid w:val="002A63DF"/>
    <w:rsid w:val="00461DF6"/>
    <w:rsid w:val="004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5483"/>
  <w15:docId w15:val="{E6D65DDE-AC3D-4975-8F24-D8CF97B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0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21" w:righ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12 - Alteração Deliberação 21.2016</dc:title>
  <dc:creator>est.thays.m</dc:creator>
  <cp:lastModifiedBy>Amanda Beatriz Gomes de Souza</cp:lastModifiedBy>
  <cp:revision>2</cp:revision>
  <dcterms:created xsi:type="dcterms:W3CDTF">2020-01-21T17:05:00Z</dcterms:created>
  <dcterms:modified xsi:type="dcterms:W3CDTF">2020-01-21T17:05:00Z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2020-01-21T00:00:00Z</vt:filetime>
  </property>
</Properties>
</file>