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ANEXO II – MODELO DE PROPOSTA COMERCIAL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Razão Social da Empresa: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Banco, agência e conta para pagamento: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Nome do Representante: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41.0" w:type="dxa"/>
        <w:jc w:val="left"/>
        <w:tblLayout w:type="fixed"/>
        <w:tblLook w:val="0400"/>
      </w:tblPr>
      <w:tblGrid>
        <w:gridCol w:w="530"/>
        <w:gridCol w:w="701"/>
        <w:gridCol w:w="1076"/>
        <w:gridCol w:w="1172"/>
        <w:gridCol w:w="2885"/>
        <w:gridCol w:w="1418"/>
        <w:gridCol w:w="1259"/>
        <w:tblGridChange w:id="0">
          <w:tblGrid>
            <w:gridCol w:w="530"/>
            <w:gridCol w:w="701"/>
            <w:gridCol w:w="1076"/>
            <w:gridCol w:w="1172"/>
            <w:gridCol w:w="2885"/>
            <w:gridCol w:w="1418"/>
            <w:gridCol w:w="125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00b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 01</w:t>
            </w:r>
          </w:p>
        </w:tc>
        <w:tc>
          <w:tcPr>
            <w:gridSpan w:val="6"/>
            <w:tcBorders>
              <w:top w:color="000000" w:space="0" w:sz="10" w:val="single"/>
              <w:left w:color="000000" w:space="0" w:sz="0" w:val="nil"/>
              <w:bottom w:color="000000" w:space="0" w:sz="10" w:val="single"/>
              <w:right w:color="000000" w:space="0" w:sz="10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Participação geral ou Exclusivo para ME/EPP ou Cota reservada para ME/EPP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00b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10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Benefícios LC 123/2006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10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Sim ( ) Não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CATMAT</w:t>
            </w:r>
          </w:p>
        </w:tc>
        <w:tc>
          <w:tcPr>
            <w:vMerge w:val="restart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Especificações</w:t>
            </w:r>
          </w:p>
        </w:tc>
        <w:tc>
          <w:tcPr>
            <w:vMerge w:val="restart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Valor Unitário Máximo (R$)</w:t>
            </w:r>
          </w:p>
        </w:tc>
        <w:tc>
          <w:tcPr>
            <w:tcBorders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Valor Total Máximo do Item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(R$)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Unitário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399489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Painel diretório modular e evolutivo - Com instalação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left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VALOR GLOBAL MÁXIMO DO GRUPO R$</w:t>
            </w:r>
          </w:p>
        </w:tc>
        <w:tc>
          <w:tcPr>
            <w:gridSpan w:val="2"/>
            <w:vMerge w:val="restart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(considera-se como global o somatório dos preços totais de cada item que compõe este grupo)</w:t>
            </w:r>
          </w:p>
        </w:tc>
        <w:tc>
          <w:tcPr>
            <w:gridSpan w:val="2"/>
            <w:vMerge w:val="continue"/>
            <w:tcBorders>
              <w:bottom w:color="000000" w:space="0" w:sz="12" w:val="single"/>
              <w:right w:color="000000" w:space="0" w:sz="12" w:val="single"/>
            </w:tcBorders>
            <w:shd w:fill="d9f2d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0"/>
        <w:gridCol w:w="3021"/>
        <w:tblGridChange w:id="0">
          <w:tblGrid>
            <w:gridCol w:w="3020"/>
            <w:gridCol w:w="3020"/>
            <w:gridCol w:w="3021"/>
          </w:tblGrid>
        </w:tblGridChange>
      </w:tblGrid>
      <w:tr>
        <w:trPr>
          <w:cantSplit w:val="0"/>
          <w:trHeight w:val="53" w:hRule="atLeast"/>
          <w:tblHeader w:val="0"/>
        </w:trPr>
        <w:tc>
          <w:tcPr>
            <w:gridSpan w:val="3"/>
            <w:shd w:fill="e2efd9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Somente para ME ou EPP regulamentada pela Lei Complementar n° 123/06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Em atendimento ao art. 4º, §2º, da Lei Federal n.º 14.133/2021, visando à obtenção dos benefícios da Lei Complementar n.º 123/2006,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declaro que: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NÃO CELEBRAMOS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contratos com a Administração Pública no ano-calendário de realização da dispensa eletrônica cujos valores somados extrapolem a receita bruta máxima admitida para fins de enquadramento como empresa de pequeno porte.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  )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CELEBRAMOS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contratos com a Administração Pública no ano-calendário de realização da dispensa eletrônica cujos valores somados extrapolam a receita bruta máxima admitida para fins de enquadramento como empresa de pequeno porte.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Demais condições: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a) Ao efetuar essa proposta, esta empresa proponente declara ter tomado pleno conhecimento do Aviso de Contratação, do Termo de Referência e dos demais documentos integrantes da presente contratação estando ciente das obrigações das partes e das condições de prestação dos serviços ou fornecimento de produtos; </w:t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b) Esta empresa proponente declara que todas as despesas diretas e indiretas envolvidas no provimento dos serviços estão incluídas nos valores desta proposta de preços, que possui capacidade técnico-operacional adequada e que os preços são exequíveis;</w:t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c) Esta empresa proponente atesta o atendimento das exigências técnicas previstas no Termo de Referência (Anexo I) do Edital;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d) O prazo de validade da presente proposta será de 60 dias a partir da data da sessão de abertura do pregão eletrônico.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Local e data: _____________, _____ de _____ de 20__.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jc w:val="center"/>
        <w:rPr/>
      </w:pPr>
      <w:r w:rsidDel="00000000" w:rsidR="00000000" w:rsidRPr="00000000">
        <w:rPr>
          <w:color w:val="000000"/>
          <w:rtl w:val="0"/>
        </w:rPr>
        <w:t xml:space="preserve">Identificação e Assinatura do Representante Legal da Empresa 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851" w:left="1701" w:right="1134" w:header="799" w:footer="6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ptos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tabs>
        <w:tab w:val="center" w:leader="none" w:pos="4419"/>
        <w:tab w:val="right" w:leader="none" w:pos="8838"/>
      </w:tabs>
      <w:spacing w:line="240" w:lineRule="auto"/>
      <w:jc w:val="center"/>
      <w:rPr>
        <w:b w:val="1"/>
        <w:bCs w:val="1"/>
        <w:color w:val="000000"/>
        <w:sz w:val="16"/>
        <w:szCs w:val="16"/>
      </w:rPr>
    </w:pPr>
    <w:r w:rsidDel="00000000" w:rsidR="00000000" w:rsidRPr="00000000">
      <w:rPr>
        <w:b w:val="1"/>
        <w:bCs w:val="1"/>
        <w:color w:val="000000"/>
        <w:sz w:val="16"/>
        <w:szCs w:val="16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5F">
    <w:pPr>
      <w:tabs>
        <w:tab w:val="center" w:leader="none" w:pos="4419"/>
        <w:tab w:val="right" w:leader="none" w:pos="8838"/>
      </w:tabs>
      <w:spacing w:line="240" w:lineRule="auto"/>
      <w:jc w:val="center"/>
      <w:rPr>
        <w:b w:val="1"/>
        <w:bCs w:val="1"/>
        <w:color w:val="000000"/>
        <w:sz w:val="16"/>
        <w:szCs w:val="16"/>
      </w:rPr>
    </w:pPr>
    <w:r w:rsidDel="00000000" w:rsidR="00000000" w:rsidRPr="00000000">
      <w:rPr>
        <w:b w:val="1"/>
        <w:bCs w:val="1"/>
        <w:color w:val="000000"/>
        <w:sz w:val="16"/>
        <w:szCs w:val="16"/>
        <w:rtl w:val="0"/>
      </w:rPr>
      <w:t xml:space="preserve">DEFENSORIA PÚBLICA DO ESTADO DO PARANÁ</w:t>
    </w:r>
  </w:p>
  <w:p w:rsidR="00000000" w:rsidDel="00000000" w:rsidP="00000000" w:rsidRDefault="00000000" w:rsidRPr="00000000" w14:paraId="00000060">
    <w:pPr>
      <w:tabs>
        <w:tab w:val="center" w:leader="none" w:pos="4419"/>
        <w:tab w:val="right" w:leader="none" w:pos="8838"/>
      </w:tabs>
      <w:spacing w:line="240" w:lineRule="auto"/>
      <w:jc w:val="center"/>
      <w:rPr>
        <w:i w:val="1"/>
        <w:iCs w:val="1"/>
        <w:color w:val="000000"/>
        <w:sz w:val="16"/>
        <w:szCs w:val="16"/>
      </w:rPr>
    </w:pPr>
    <w:r w:rsidDel="00000000" w:rsidR="00000000" w:rsidRPr="00000000">
      <w:rPr>
        <w:i w:val="1"/>
        <w:iCs w:val="1"/>
        <w:color w:val="000000"/>
        <w:sz w:val="16"/>
        <w:szCs w:val="16"/>
        <w:rtl w:val="0"/>
      </w:rPr>
      <w:t xml:space="preserve">Rua Mateus Leme, nº 1908 – Centro Cívico – Curitiba/Paraná. CEP 80.530-010. Telefone: (41) 3313-7380</w:t>
    </w:r>
  </w:p>
  <w:p w:rsidR="00000000" w:rsidDel="00000000" w:rsidP="00000000" w:rsidRDefault="00000000" w:rsidRPr="00000000" w14:paraId="00000061">
    <w:pPr>
      <w:tabs>
        <w:tab w:val="center" w:leader="none" w:pos="4419"/>
        <w:tab w:val="right" w:leader="none" w:pos="8838"/>
      </w:tabs>
      <w:spacing w:line="240" w:lineRule="auto"/>
      <w:jc w:val="right"/>
      <w:rPr>
        <w:b w:val="1"/>
        <w:bCs w:val="1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Página </w:t>
    </w: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de </w:t>
    </w: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left" w:leader="none" w:pos="335"/>
      </w:tabs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71126</wp:posOffset>
          </wp:positionH>
          <wp:positionV relativeFrom="paragraph">
            <wp:posOffset>-28896</wp:posOffset>
          </wp:positionV>
          <wp:extent cx="1517650" cy="628015"/>
          <wp:effectExtent b="0" l="0" r="0" t="0"/>
          <wp:wrapNone/>
          <wp:docPr descr="Uma imagem contendo Ícone&#10;&#10;Descrição gerada automaticamente" id="540262275" name="image1.png"/>
          <a:graphic>
            <a:graphicData uri="http://schemas.openxmlformats.org/drawingml/2006/picture">
              <pic:pic>
                <pic:nvPicPr>
                  <pic:cNvPr descr="Uma imagem contendo Ícone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650" cy="628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spacing w:line="240" w:lineRule="auto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left" w:leader="none" w:pos="3652"/>
      </w:tabs>
      <w:spacing w:line="240" w:lineRule="auto"/>
      <w:jc w:val="right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8"/>
        <w:szCs w:val="18"/>
        <w:rtl w:val="0"/>
      </w:rPr>
      <w:tab/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DIRETORIA DE CONTRATAÇÕES</w:t>
    </w:r>
  </w:p>
  <w:p w:rsidR="00000000" w:rsidDel="00000000" w:rsidP="00000000" w:rsidRDefault="00000000" w:rsidRPr="00000000" w14:paraId="0000005A">
    <w:pPr>
      <w:tabs>
        <w:tab w:val="left" w:leader="none" w:pos="3652"/>
      </w:tabs>
      <w:spacing w:line="240" w:lineRule="auto"/>
      <w:jc w:val="right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COORDENADORIA DE CONTRATAÇÕES</w:t>
    </w:r>
  </w:p>
  <w:p w:rsidR="00000000" w:rsidDel="00000000" w:rsidP="00000000" w:rsidRDefault="00000000" w:rsidRPr="00000000" w14:paraId="0000005B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bottom w:color="000000" w:space="1" w:sz="4" w:val="single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Bookman Old Style" w:cs="Bookman Old Style" w:eastAsia="Bookman Old Style" w:hAnsi="Bookman Old Style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Times New Roman" w:cs="Times New Roman" w:eastAsia="Times New Roman" w:hAnsi="Times New Roman"/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A0C2D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A0C2D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A0C2D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6A0C2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A0C2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A0C2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A0C2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A0C2D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A0C2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A0C2D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A0C2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A0C2D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6A0C2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6A0C2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A0C2D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6A0C2D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A0C2D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Cs w:val="24"/>
    </w:rPr>
  </w:style>
  <w:style w:type="character" w:styleId="nfaseIntensa">
    <w:name w:val="Intense Emphasis"/>
    <w:basedOn w:val="Fontepargpadro"/>
    <w:uiPriority w:val="21"/>
    <w:qFormat w:val="1"/>
    <w:rsid w:val="006A0C2D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6A0C2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A0C2D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6A0C2D"/>
    <w:rPr>
      <w:b w:val="1"/>
      <w:bCs w:val="1"/>
      <w:smallCaps w:val="1"/>
      <w:color w:val="2f5496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widowControl w:val="0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x0yTw8EL9ecccl5R0h4VXG8Qw==">CgMxLjA4AHIhMXFkRlVUSW9kZ19icWlpczJrUVBmdEkyRDYwMjM2c09h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2025-03-05T16:35:00Z</dcterms:created>
  <dc:creator>Isadora Alberti</dc:creator>
</cp:coreProperties>
</file>