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024BC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p w14:paraId="63152FED" w14:textId="2FFCAB30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ANEXO II – MODELO DE PROPOSTA COMERCIAL</w:t>
      </w:r>
    </w:p>
    <w:p w14:paraId="36212106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A5EF4" w14:paraId="41A49221" w14:textId="77777777" w:rsidTr="001A5EF4">
        <w:tc>
          <w:tcPr>
            <w:tcW w:w="9061" w:type="dxa"/>
          </w:tcPr>
          <w:p w14:paraId="2395B745" w14:textId="110CB70A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Razão Social da Empresa:</w:t>
            </w:r>
          </w:p>
        </w:tc>
      </w:tr>
      <w:tr w:rsidR="001A5EF4" w14:paraId="0E8383A5" w14:textId="77777777" w:rsidTr="001A5EF4">
        <w:tc>
          <w:tcPr>
            <w:tcW w:w="9061" w:type="dxa"/>
          </w:tcPr>
          <w:p w14:paraId="6186E171" w14:textId="2FD6A844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CNPJ:</w:t>
            </w:r>
          </w:p>
        </w:tc>
      </w:tr>
      <w:tr w:rsidR="001A5EF4" w14:paraId="41CD982B" w14:textId="77777777" w:rsidTr="001A5EF4">
        <w:tc>
          <w:tcPr>
            <w:tcW w:w="9061" w:type="dxa"/>
          </w:tcPr>
          <w:p w14:paraId="665E1161" w14:textId="590203EE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Endereço:</w:t>
            </w:r>
          </w:p>
        </w:tc>
      </w:tr>
      <w:tr w:rsidR="001A5EF4" w14:paraId="2C3A1CC5" w14:textId="77777777" w:rsidTr="001A5EF4">
        <w:tc>
          <w:tcPr>
            <w:tcW w:w="9061" w:type="dxa"/>
          </w:tcPr>
          <w:p w14:paraId="075392F9" w14:textId="3D5DA963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Telefone:</w:t>
            </w:r>
          </w:p>
        </w:tc>
      </w:tr>
      <w:tr w:rsidR="001A5EF4" w14:paraId="4679D6E1" w14:textId="77777777" w:rsidTr="001A5EF4">
        <w:tc>
          <w:tcPr>
            <w:tcW w:w="9061" w:type="dxa"/>
          </w:tcPr>
          <w:p w14:paraId="4C6E81E4" w14:textId="4D381255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Email:</w:t>
            </w:r>
          </w:p>
        </w:tc>
      </w:tr>
      <w:tr w:rsidR="001A5EF4" w14:paraId="551B6AE1" w14:textId="77777777" w:rsidTr="001A5EF4">
        <w:tc>
          <w:tcPr>
            <w:tcW w:w="9061" w:type="dxa"/>
          </w:tcPr>
          <w:p w14:paraId="4B35416A" w14:textId="7B2418C6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Banco, agência e conta para pagamento:</w:t>
            </w:r>
          </w:p>
        </w:tc>
      </w:tr>
      <w:tr w:rsidR="001A5EF4" w14:paraId="0C08332C" w14:textId="77777777" w:rsidTr="001A5EF4">
        <w:tc>
          <w:tcPr>
            <w:tcW w:w="9061" w:type="dxa"/>
          </w:tcPr>
          <w:p w14:paraId="17E01EBF" w14:textId="32D7523A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Nome do Representante:</w:t>
            </w:r>
          </w:p>
        </w:tc>
      </w:tr>
      <w:tr w:rsidR="001A5EF4" w14:paraId="5B3FEBB4" w14:textId="77777777" w:rsidTr="001A5EF4">
        <w:tc>
          <w:tcPr>
            <w:tcW w:w="9061" w:type="dxa"/>
          </w:tcPr>
          <w:p w14:paraId="319FD1C9" w14:textId="097A3CF0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RG:</w:t>
            </w:r>
          </w:p>
        </w:tc>
      </w:tr>
      <w:tr w:rsidR="001A5EF4" w14:paraId="0C4BB615" w14:textId="77777777" w:rsidTr="001A5EF4">
        <w:tc>
          <w:tcPr>
            <w:tcW w:w="9061" w:type="dxa"/>
          </w:tcPr>
          <w:p w14:paraId="3E423082" w14:textId="318069B4" w:rsidR="001A5EF4" w:rsidRDefault="001A5EF4" w:rsidP="001A5EF4">
            <w:pPr>
              <w:rPr>
                <w:b/>
                <w:color w:val="000000"/>
                <w:szCs w:val="24"/>
              </w:rPr>
            </w:pPr>
            <w:r w:rsidRPr="009A31DC">
              <w:rPr>
                <w:color w:val="000000"/>
              </w:rPr>
              <w:t>CPF:</w:t>
            </w:r>
          </w:p>
        </w:tc>
      </w:tr>
    </w:tbl>
    <w:p w14:paraId="180A8DB7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662"/>
        <w:gridCol w:w="746"/>
        <w:gridCol w:w="974"/>
        <w:gridCol w:w="1010"/>
        <w:gridCol w:w="3119"/>
        <w:gridCol w:w="1133"/>
        <w:gridCol w:w="1407"/>
      </w:tblGrid>
      <w:tr w:rsidR="001A5EF4" w:rsidRPr="00331F30" w14:paraId="6054F936" w14:textId="77777777" w:rsidTr="006B31EE">
        <w:trPr>
          <w:trHeight w:val="435"/>
        </w:trPr>
        <w:tc>
          <w:tcPr>
            <w:tcW w:w="366" w:type="pct"/>
            <w:vMerge w:val="restart"/>
            <w:shd w:val="clear" w:color="auto" w:fill="00B050"/>
            <w:textDirection w:val="btLr"/>
            <w:vAlign w:val="center"/>
          </w:tcPr>
          <w:p w14:paraId="2A5C3E29" w14:textId="77777777" w:rsidR="001A5EF4" w:rsidRPr="00331F30" w:rsidRDefault="001A5EF4" w:rsidP="006B31EE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Grupo 1</w:t>
            </w:r>
          </w:p>
        </w:tc>
        <w:tc>
          <w:tcPr>
            <w:tcW w:w="4634" w:type="pct"/>
            <w:gridSpan w:val="6"/>
            <w:shd w:val="clear" w:color="auto" w:fill="D9F2D0"/>
            <w:vAlign w:val="center"/>
          </w:tcPr>
          <w:p w14:paraId="2FC9808A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ITENS DESKTOP- </w:t>
            </w:r>
            <w:r w:rsidRPr="00331F30">
              <w:rPr>
                <w:rFonts w:eastAsia="Calibri"/>
                <w:b/>
                <w:color w:val="000000"/>
                <w:sz w:val="16"/>
                <w:szCs w:val="16"/>
                <w:u w:val="single"/>
              </w:rPr>
              <w:t>PARTICIPAÇÃO GERAL</w:t>
            </w:r>
          </w:p>
        </w:tc>
      </w:tr>
      <w:tr w:rsidR="001A5EF4" w:rsidRPr="00331F30" w14:paraId="35CF444B" w14:textId="77777777" w:rsidTr="006B31EE">
        <w:trPr>
          <w:trHeight w:val="516"/>
        </w:trPr>
        <w:tc>
          <w:tcPr>
            <w:tcW w:w="366" w:type="pct"/>
            <w:vMerge/>
            <w:shd w:val="clear" w:color="auto" w:fill="00B050"/>
            <w:vAlign w:val="center"/>
          </w:tcPr>
          <w:p w14:paraId="36E9669B" w14:textId="77777777" w:rsidR="001A5EF4" w:rsidRPr="00331F30" w:rsidRDefault="001A5EF4" w:rsidP="006B31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08" w:type="pct"/>
            <w:gridSpan w:val="3"/>
            <w:shd w:val="clear" w:color="auto" w:fill="D9F2D0"/>
            <w:vAlign w:val="center"/>
          </w:tcPr>
          <w:p w14:paraId="331227EB" w14:textId="77777777" w:rsidR="001A5EF4" w:rsidRPr="00331F30" w:rsidRDefault="001A5EF4" w:rsidP="006B31EE">
            <w:pPr>
              <w:jc w:val="center"/>
              <w:rPr>
                <w:b/>
                <w:sz w:val="16"/>
                <w:szCs w:val="16"/>
              </w:rPr>
            </w:pPr>
            <w:r w:rsidRPr="00331F30">
              <w:rPr>
                <w:rFonts w:eastAsia="Calibri"/>
                <w:b/>
                <w:sz w:val="16"/>
                <w:szCs w:val="16"/>
              </w:rPr>
              <w:t>Benefícios LC 123/2006</w:t>
            </w:r>
          </w:p>
        </w:tc>
        <w:tc>
          <w:tcPr>
            <w:tcW w:w="3126" w:type="pct"/>
            <w:gridSpan w:val="3"/>
            <w:shd w:val="clear" w:color="auto" w:fill="D9F2D0"/>
            <w:vAlign w:val="center"/>
          </w:tcPr>
          <w:p w14:paraId="5A923384" w14:textId="77777777" w:rsidR="001A5EF4" w:rsidRPr="00331F30" w:rsidRDefault="001A5EF4" w:rsidP="006B31EE">
            <w:pPr>
              <w:jc w:val="center"/>
              <w:rPr>
                <w:b/>
                <w:sz w:val="16"/>
                <w:szCs w:val="16"/>
              </w:rPr>
            </w:pPr>
            <w:r w:rsidRPr="00331F30">
              <w:rPr>
                <w:rFonts w:eastAsia="Calibri"/>
                <w:b/>
                <w:sz w:val="16"/>
                <w:szCs w:val="16"/>
              </w:rPr>
              <w:t>Sim (x) Não ( )</w:t>
            </w:r>
          </w:p>
        </w:tc>
      </w:tr>
      <w:tr w:rsidR="001A5EF4" w:rsidRPr="00331F30" w14:paraId="2EC58DCA" w14:textId="77777777" w:rsidTr="006B31EE">
        <w:trPr>
          <w:trHeight w:val="552"/>
        </w:trPr>
        <w:tc>
          <w:tcPr>
            <w:tcW w:w="366" w:type="pct"/>
            <w:shd w:val="clear" w:color="auto" w:fill="E7E6E6"/>
            <w:vAlign w:val="center"/>
          </w:tcPr>
          <w:p w14:paraId="6B7BB5F4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04004123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Q</w:t>
            </w:r>
            <w:r>
              <w:rPr>
                <w:b/>
                <w:color w:val="000000"/>
                <w:sz w:val="16"/>
                <w:szCs w:val="16"/>
              </w:rPr>
              <w:t>TD.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18CF99FC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UNIDADE DE MEDIDA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6F5309D9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5FADB79A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ESPECIFICAÇÕES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26696CD5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VALOR UNITÁRIO 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3580F1B5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VALOR TOTAL</w:t>
            </w:r>
          </w:p>
        </w:tc>
      </w:tr>
      <w:tr w:rsidR="00E56C27" w:rsidRPr="00331F30" w14:paraId="1FE91998" w14:textId="77777777" w:rsidTr="00E56C27">
        <w:trPr>
          <w:trHeight w:val="569"/>
        </w:trPr>
        <w:tc>
          <w:tcPr>
            <w:tcW w:w="366" w:type="pct"/>
            <w:shd w:val="clear" w:color="auto" w:fill="E7E6E6"/>
            <w:vAlign w:val="center"/>
          </w:tcPr>
          <w:p w14:paraId="6BDD3A79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211927B9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5D15B01C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2411FC16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404518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100B0A1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SSD tipo 1: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 xml:space="preserve"> SSD padrão SATA III, com velocidade de 6Gb/s e capacidade de armazenamento de no mínimo 240GB. Garantia de 1 (um) ano.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72850C1E" w14:textId="00A20411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752ECFDC" w14:textId="503AA20E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205783DC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4C879AA2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09441E75" w14:textId="77777777" w:rsidR="00E56C27" w:rsidRPr="00331F30" w:rsidRDefault="00E56C27" w:rsidP="00E56C27">
            <w:pPr>
              <w:jc w:val="center"/>
              <w:rPr>
                <w:sz w:val="16"/>
                <w:szCs w:val="16"/>
              </w:rPr>
            </w:pPr>
            <w:r w:rsidRPr="00331F30">
              <w:rPr>
                <w:rFonts w:eastAsia="Calibri"/>
                <w:sz w:val="16"/>
                <w:szCs w:val="16"/>
              </w:rPr>
              <w:t>43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15512DAC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6651D7AE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434678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CCC10E4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Memória RAM tipo 1:</w:t>
            </w:r>
            <w:r w:rsidRPr="00331F30">
              <w:rPr>
                <w:rFonts w:eastAsia="Calibri"/>
                <w:sz w:val="16"/>
                <w:szCs w:val="16"/>
              </w:rPr>
              <w:t xml:space="preserve">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Memória DDR3 com capacidade de 8GB, 240 pinos PC12800 e frequência de 1600MHZ.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6BB0DD22" w14:textId="49D9EEDC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7B20472D" w14:textId="4FA2F572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1C4889E9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586A41CC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7F6B15C2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4A2EADD6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7BCFB60B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471258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A87B2E3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Memória RAM tipo 2: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 xml:space="preserve"> Memória DIMM DDR4 com capacidade de 8GB 288 pinos e frequência de 2666MHZ.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72E6A812" w14:textId="3BAC69BE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15CAB32D" w14:textId="09EFE082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21FA82FA" w14:textId="77777777" w:rsidTr="00E56C27">
        <w:trPr>
          <w:trHeight w:val="328"/>
        </w:trPr>
        <w:tc>
          <w:tcPr>
            <w:tcW w:w="366" w:type="pct"/>
            <w:shd w:val="clear" w:color="auto" w:fill="E7E6E6"/>
            <w:vAlign w:val="center"/>
          </w:tcPr>
          <w:p w14:paraId="25DF6AD7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0712809E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6BDCDDF3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133BA818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449555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72AC5B16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Memória RAM tipo 3: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Memória DIMM DDR4 com capacidade de 8GB, 288 pinos e frequência de 2400MHZ.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592F47F0" w14:textId="17797CDD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05E7A03A" w14:textId="44D04521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357B66B8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227F6340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0C0F4B18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41C09E14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157D2E40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240146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7E63FD93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Cooler de processador tipo 1: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Cooler compatível com processador AMD A8.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5D03F6AC" w14:textId="6C5E6104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7C1B1180" w14:textId="590050E9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555108CB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5A206733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2823FEDF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07F587B5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7163E44C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240146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203A24A2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Cooler de processador tipo 2: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 xml:space="preserve"> Cooler compatível com processador AMD ATHLON 200GE.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719C196A" w14:textId="145EB568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0C87EB0D" w14:textId="6380B56F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7F8827CA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20CB40FE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308923AB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182A3755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2699740C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473430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805C4BA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Cooler de gabinete tipo 1: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Cooler para gabinete 80mm, 4 pinos, tensão 12v com parafusos para fixação.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405901A4" w14:textId="1F1BB60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31A0C3E6" w14:textId="0A19154F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7E20B604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256B7D66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27B68633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20472BB2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656404FB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473430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49200FAA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Cooler de gabinete tipo 2: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Cooler para gabinete 80mm, 3 pinos, tensão 12v com parafusos para fixação.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6E05B79C" w14:textId="2602739C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6C61C71E" w14:textId="325C09A9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266238A5" w14:textId="77777777" w:rsidTr="00E56C27">
        <w:trPr>
          <w:trHeight w:val="170"/>
        </w:trPr>
        <w:tc>
          <w:tcPr>
            <w:tcW w:w="366" w:type="pct"/>
            <w:shd w:val="clear" w:color="auto" w:fill="E7E6E6"/>
            <w:vAlign w:val="center"/>
          </w:tcPr>
          <w:p w14:paraId="47F3BBDA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412" w:type="pct"/>
            <w:shd w:val="clear" w:color="auto" w:fill="E7E6E6"/>
            <w:vAlign w:val="center"/>
          </w:tcPr>
          <w:p w14:paraId="6C7A7289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538" w:type="pct"/>
            <w:shd w:val="clear" w:color="auto" w:fill="E7E6E6"/>
            <w:vAlign w:val="center"/>
          </w:tcPr>
          <w:p w14:paraId="3088D187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58" w:type="pct"/>
            <w:shd w:val="clear" w:color="auto" w:fill="E7E6E6"/>
            <w:vAlign w:val="center"/>
          </w:tcPr>
          <w:p w14:paraId="0BDB0748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320290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CB30376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Fonte ATX:</w:t>
            </w:r>
            <w:r w:rsidRPr="00331F30">
              <w:rPr>
                <w:rFonts w:eastAsia="Calibri"/>
                <w:sz w:val="16"/>
                <w:szCs w:val="16"/>
              </w:rPr>
              <w:t xml:space="preserve">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 xml:space="preserve">Fonte ATX com tensão de saída de 12V, PFC Ativo (eficiência mínima 80%), 80 Plus, Bivolt Automático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lastRenderedPageBreak/>
              <w:t>e potência de 400W. Garantia de 01 (um) ano.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2A98A973" w14:textId="4A5FDFC8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233">
              <w:rPr>
                <w:rFonts w:eastAsia="Calibri"/>
                <w:b/>
                <w:color w:val="000000"/>
                <w:sz w:val="16"/>
                <w:szCs w:val="16"/>
              </w:rPr>
              <w:lastRenderedPageBreak/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3DA963B0" w14:textId="5736B1B5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502DE4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1A5EF4" w:rsidRPr="00331F30" w14:paraId="2E858CC7" w14:textId="77777777" w:rsidTr="006B31EE">
        <w:trPr>
          <w:trHeight w:val="60"/>
        </w:trPr>
        <w:tc>
          <w:tcPr>
            <w:tcW w:w="3597" w:type="pct"/>
            <w:gridSpan w:val="5"/>
            <w:shd w:val="clear" w:color="auto" w:fill="D9F2D0"/>
            <w:vAlign w:val="center"/>
          </w:tcPr>
          <w:p w14:paraId="2123E663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VALOR GLOBAL MÁXIMO DO GRUPO 1</w:t>
            </w:r>
          </w:p>
        </w:tc>
        <w:tc>
          <w:tcPr>
            <w:tcW w:w="1403" w:type="pct"/>
            <w:gridSpan w:val="2"/>
            <w:shd w:val="clear" w:color="auto" w:fill="D9F2D0"/>
            <w:vAlign w:val="center"/>
          </w:tcPr>
          <w:p w14:paraId="794A32A3" w14:textId="621102D3" w:rsidR="001A5EF4" w:rsidRPr="00331F30" w:rsidRDefault="00E56C27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</w:tbl>
    <w:p w14:paraId="3E5BE720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682"/>
        <w:gridCol w:w="726"/>
        <w:gridCol w:w="992"/>
        <w:gridCol w:w="992"/>
        <w:gridCol w:w="3119"/>
        <w:gridCol w:w="1133"/>
        <w:gridCol w:w="1407"/>
      </w:tblGrid>
      <w:tr w:rsidR="001A5EF4" w:rsidRPr="001A5EF4" w14:paraId="4C3F88D1" w14:textId="77777777" w:rsidTr="006B31EE">
        <w:trPr>
          <w:trHeight w:val="478"/>
        </w:trPr>
        <w:tc>
          <w:tcPr>
            <w:tcW w:w="377" w:type="pct"/>
            <w:vMerge w:val="restart"/>
            <w:shd w:val="clear" w:color="auto" w:fill="00B050"/>
            <w:textDirection w:val="btLr"/>
            <w:vAlign w:val="center"/>
          </w:tcPr>
          <w:p w14:paraId="12E98A64" w14:textId="77777777" w:rsidR="001A5EF4" w:rsidRPr="001A5EF4" w:rsidRDefault="001A5EF4" w:rsidP="001A5EF4">
            <w:pPr>
              <w:spacing w:line="240" w:lineRule="auto"/>
              <w:ind w:left="113" w:right="113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Grupo 2</w:t>
            </w:r>
          </w:p>
        </w:tc>
        <w:tc>
          <w:tcPr>
            <w:tcW w:w="4623" w:type="pct"/>
            <w:gridSpan w:val="6"/>
            <w:shd w:val="clear" w:color="auto" w:fill="D9F2D0"/>
            <w:vAlign w:val="center"/>
          </w:tcPr>
          <w:p w14:paraId="246EDDCB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u w:val="single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 xml:space="preserve">ITENS DESKTOP- </w:t>
            </w:r>
            <w:r w:rsidRPr="001A5EF4">
              <w:rPr>
                <w:rFonts w:eastAsia="Calibri"/>
                <w:b/>
                <w:sz w:val="16"/>
                <w:szCs w:val="16"/>
                <w:u w:val="single"/>
                <w:lang w:eastAsia="pt-BR"/>
              </w:rPr>
              <w:t>COTA RESERVADA PARA ME/EPP</w:t>
            </w:r>
          </w:p>
        </w:tc>
      </w:tr>
      <w:tr w:rsidR="001A5EF4" w:rsidRPr="001A5EF4" w14:paraId="21F549C0" w14:textId="77777777" w:rsidTr="006B31EE">
        <w:trPr>
          <w:trHeight w:val="424"/>
        </w:trPr>
        <w:tc>
          <w:tcPr>
            <w:tcW w:w="377" w:type="pct"/>
            <w:vMerge/>
            <w:shd w:val="clear" w:color="auto" w:fill="00B050"/>
            <w:vAlign w:val="center"/>
          </w:tcPr>
          <w:p w14:paraId="3C708C1F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497" w:type="pct"/>
            <w:gridSpan w:val="3"/>
            <w:shd w:val="clear" w:color="auto" w:fill="D9F2D0"/>
            <w:vAlign w:val="center"/>
          </w:tcPr>
          <w:p w14:paraId="44BC6511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Benefícios LC 123/2006</w:t>
            </w:r>
          </w:p>
        </w:tc>
        <w:tc>
          <w:tcPr>
            <w:tcW w:w="3126" w:type="pct"/>
            <w:gridSpan w:val="3"/>
            <w:shd w:val="clear" w:color="auto" w:fill="D9F2D0"/>
            <w:vAlign w:val="center"/>
          </w:tcPr>
          <w:p w14:paraId="0A7E14EC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Sim (x) Não ( )</w:t>
            </w:r>
          </w:p>
        </w:tc>
      </w:tr>
      <w:tr w:rsidR="001A5EF4" w:rsidRPr="001A5EF4" w14:paraId="6A1434B9" w14:textId="77777777" w:rsidTr="006B31EE">
        <w:trPr>
          <w:trHeight w:val="532"/>
        </w:trPr>
        <w:tc>
          <w:tcPr>
            <w:tcW w:w="377" w:type="pct"/>
            <w:shd w:val="clear" w:color="auto" w:fill="E7E6E6"/>
            <w:vAlign w:val="center"/>
          </w:tcPr>
          <w:p w14:paraId="5A1AFE13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58920900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QTD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757026A1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6A86E253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CATMAT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53A58376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ESPECIFICAÇÕES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0FB122A2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VALOR UNITÁRIO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198A4F62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VALOR TOTAL</w:t>
            </w:r>
          </w:p>
        </w:tc>
      </w:tr>
      <w:tr w:rsidR="00E56C27" w:rsidRPr="001A5EF4" w14:paraId="4285FFDD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24377A0C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7F51D3DB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232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01396CED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13147706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404518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1326DA21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SSD tipo 1: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 xml:space="preserve"> SSD padrão SATA III, com velocidade de 6Gb/s e capacidade de armazenamento de no mínimo 240GB. Garantia de 1 (um) ano.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548AE4C3" w14:textId="511ABEC1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6F76FAF2" w14:textId="1E83B182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0BCEBD30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29B59522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3626F6A5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0FD0E1C0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5B713301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434678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20BE864E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Memória RAM tipo 1: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 xml:space="preserve"> Memória DDR3 com capacidade de 8GB, 240 pinos PC12800 e frequência de 1600MHZ.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4833291D" w14:textId="595A32E6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6DBD2203" w14:textId="7A2CE0A8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5664E9CD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153C83BA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4D962D44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158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15537A79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3E8E3598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471258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70AAE68D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Memória RAM tipo 2: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 xml:space="preserve"> Memória DIMM DDR4 com capacidade de 8GB 288 pinos e frequência de 2666MHZ.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675BA35C" w14:textId="117D3BCB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4196EF3E" w14:textId="4E2D4BED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7CE75481" w14:textId="77777777" w:rsidTr="00E56C27">
        <w:trPr>
          <w:trHeight w:val="328"/>
        </w:trPr>
        <w:tc>
          <w:tcPr>
            <w:tcW w:w="377" w:type="pct"/>
            <w:shd w:val="clear" w:color="auto" w:fill="E7E6E6"/>
            <w:vAlign w:val="center"/>
          </w:tcPr>
          <w:p w14:paraId="786A33DD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1D548FB0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501903B7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6AB066D5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449555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0C65F40A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 xml:space="preserve">Memória RAM tipo 3: 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>Memória DIMM DDR4 com capacidade de 8GB, 288 pinos e frequência de 2400MHZ.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3E4FE45F" w14:textId="15E86A9F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19F8E7F5" w14:textId="6EA52A32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06C76391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51A1C309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45C418F2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0EFDCC3E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39910F36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240146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0D01564C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 xml:space="preserve">Cooler de processador tipo 1: 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>Cooler compatível com processador AMD A8.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0758669F" w14:textId="464156E1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6565A066" w14:textId="204A1AD5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4CA16E4C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2A43647B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76727C00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210C0A7B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65FADB89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240146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63C50237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Cooler de processador tipo 2: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 xml:space="preserve"> Cooler compatível com processador AMD ATHLON 200GE.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17F2E3F4" w14:textId="75162A28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5C1FD7AA" w14:textId="13B25FA2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6F579FAB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681135C5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7748B070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3AA5ABC7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00BBCB23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473430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3F6CA906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 xml:space="preserve">Cooler de gabinete tipo 1: 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>Cooler para gabinete 80mm, 4 pinos, tensão 12v com parafusos para fixação.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469D2492" w14:textId="64D2F68A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1590CEBB" w14:textId="7D8EA8C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16B2C67C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0F9544C2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6C7B6DA9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562AEC85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47C09B88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473430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431B9BDB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 xml:space="preserve">Cooler de gabinete tipo 2: 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>Cooler para gabinete 80mm, 3 pinos, tensão 12v com parafusos para fixação. Garantia de 90 (noventa) dias.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1536E62B" w14:textId="6914D4CB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7628CFA4" w14:textId="13ECAB93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379FE7B3" w14:textId="77777777" w:rsidTr="00E56C27">
        <w:trPr>
          <w:trHeight w:val="170"/>
        </w:trPr>
        <w:tc>
          <w:tcPr>
            <w:tcW w:w="377" w:type="pct"/>
            <w:shd w:val="clear" w:color="auto" w:fill="E7E6E6"/>
            <w:vAlign w:val="center"/>
          </w:tcPr>
          <w:p w14:paraId="637538EB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401" w:type="pct"/>
            <w:shd w:val="clear" w:color="auto" w:fill="E7E6E6"/>
            <w:vAlign w:val="center"/>
          </w:tcPr>
          <w:p w14:paraId="23158037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0AE48697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7C0C02B4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sz w:val="16"/>
                <w:szCs w:val="16"/>
                <w:lang w:eastAsia="pt-BR"/>
              </w:rPr>
              <w:t>320290</w:t>
            </w:r>
          </w:p>
        </w:tc>
        <w:tc>
          <w:tcPr>
            <w:tcW w:w="1723" w:type="pct"/>
            <w:shd w:val="clear" w:color="auto" w:fill="E7E6E6"/>
            <w:vAlign w:val="center"/>
          </w:tcPr>
          <w:p w14:paraId="73D0A7E7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Fonte ATX:</w:t>
            </w:r>
            <w:r w:rsidRPr="001A5EF4">
              <w:rPr>
                <w:rFonts w:eastAsia="Calibri"/>
                <w:sz w:val="16"/>
                <w:szCs w:val="16"/>
                <w:lang w:eastAsia="pt-BR"/>
              </w:rPr>
              <w:t xml:space="preserve"> Fonte ATX com tensão de saída de 12V, PFC Ativo (eficiência mínima 80%), 80 Plus, Bivolt Automático e potência de 400W. Garantia de 01 (um) ano.</w:t>
            </w:r>
          </w:p>
        </w:tc>
        <w:tc>
          <w:tcPr>
            <w:tcW w:w="626" w:type="pct"/>
            <w:shd w:val="clear" w:color="auto" w:fill="E7E6E6"/>
            <w:vAlign w:val="center"/>
          </w:tcPr>
          <w:p w14:paraId="26C63424" w14:textId="752E4332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E7E6E6"/>
            <w:vAlign w:val="center"/>
          </w:tcPr>
          <w:p w14:paraId="1CCB2039" w14:textId="12A47C79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sz w:val="16"/>
                <w:szCs w:val="16"/>
                <w:lang w:eastAsia="pt-BR"/>
              </w:rPr>
            </w:pPr>
            <w:r w:rsidRPr="00B206BB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1A5EF4" w:rsidRPr="001A5EF4" w14:paraId="497A1445" w14:textId="77777777" w:rsidTr="006B31EE">
        <w:trPr>
          <w:trHeight w:val="20"/>
        </w:trPr>
        <w:tc>
          <w:tcPr>
            <w:tcW w:w="3597" w:type="pct"/>
            <w:gridSpan w:val="5"/>
            <w:shd w:val="clear" w:color="auto" w:fill="D9F2D0"/>
            <w:vAlign w:val="center"/>
          </w:tcPr>
          <w:p w14:paraId="0C889253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VALOR GLOBAL MÁXIMO DO GRUPO 2</w:t>
            </w:r>
          </w:p>
        </w:tc>
        <w:tc>
          <w:tcPr>
            <w:tcW w:w="1403" w:type="pct"/>
            <w:gridSpan w:val="2"/>
            <w:shd w:val="clear" w:color="auto" w:fill="D9F2D0"/>
            <w:vAlign w:val="center"/>
          </w:tcPr>
          <w:p w14:paraId="6E623AE3" w14:textId="21CDD7E9" w:rsidR="001A5EF4" w:rsidRPr="001A5EF4" w:rsidRDefault="00E56C27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</w:tbl>
    <w:p w14:paraId="4CF49D67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698"/>
        <w:gridCol w:w="710"/>
        <w:gridCol w:w="992"/>
        <w:gridCol w:w="992"/>
        <w:gridCol w:w="3119"/>
        <w:gridCol w:w="1133"/>
        <w:gridCol w:w="1407"/>
      </w:tblGrid>
      <w:tr w:rsidR="001A5EF4" w:rsidRPr="00331F30" w14:paraId="40873B3F" w14:textId="77777777" w:rsidTr="006B31EE">
        <w:trPr>
          <w:trHeight w:val="415"/>
        </w:trPr>
        <w:tc>
          <w:tcPr>
            <w:tcW w:w="386" w:type="pct"/>
            <w:vMerge w:val="restart"/>
            <w:shd w:val="clear" w:color="auto" w:fill="00B050"/>
            <w:textDirection w:val="btLr"/>
            <w:vAlign w:val="center"/>
          </w:tcPr>
          <w:p w14:paraId="6C2F866B" w14:textId="77777777" w:rsidR="001A5EF4" w:rsidRPr="00331F30" w:rsidRDefault="001A5EF4" w:rsidP="006B31EE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Grupo 3</w:t>
            </w:r>
          </w:p>
        </w:tc>
        <w:tc>
          <w:tcPr>
            <w:tcW w:w="4614" w:type="pct"/>
            <w:gridSpan w:val="6"/>
            <w:shd w:val="clear" w:color="auto" w:fill="D9F2D0"/>
            <w:vAlign w:val="center"/>
          </w:tcPr>
          <w:p w14:paraId="764497FA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ITENS NOTEBOOK- EXCLUSIVO ME/EPP</w:t>
            </w:r>
          </w:p>
        </w:tc>
      </w:tr>
      <w:tr w:rsidR="001A5EF4" w:rsidRPr="00331F30" w14:paraId="38DB3FA0" w14:textId="77777777" w:rsidTr="006B31EE">
        <w:trPr>
          <w:trHeight w:val="535"/>
        </w:trPr>
        <w:tc>
          <w:tcPr>
            <w:tcW w:w="386" w:type="pct"/>
            <w:vMerge/>
            <w:shd w:val="clear" w:color="auto" w:fill="00B050"/>
            <w:vAlign w:val="center"/>
          </w:tcPr>
          <w:p w14:paraId="1EF8A93E" w14:textId="77777777" w:rsidR="001A5EF4" w:rsidRPr="00331F30" w:rsidRDefault="001A5EF4" w:rsidP="006B31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88" w:type="pct"/>
            <w:gridSpan w:val="3"/>
            <w:shd w:val="clear" w:color="auto" w:fill="D9F2D0"/>
            <w:vAlign w:val="center"/>
          </w:tcPr>
          <w:p w14:paraId="448182B2" w14:textId="77777777" w:rsidR="001A5EF4" w:rsidRPr="00331F30" w:rsidRDefault="001A5EF4" w:rsidP="006B31EE">
            <w:pPr>
              <w:jc w:val="center"/>
              <w:rPr>
                <w:b/>
                <w:sz w:val="16"/>
                <w:szCs w:val="16"/>
              </w:rPr>
            </w:pPr>
            <w:r w:rsidRPr="00331F30">
              <w:rPr>
                <w:rFonts w:eastAsia="Calibri"/>
                <w:b/>
                <w:sz w:val="16"/>
                <w:szCs w:val="16"/>
              </w:rPr>
              <w:t>Benefícios LC 123/2006</w:t>
            </w:r>
          </w:p>
        </w:tc>
        <w:tc>
          <w:tcPr>
            <w:tcW w:w="3126" w:type="pct"/>
            <w:gridSpan w:val="3"/>
            <w:shd w:val="clear" w:color="auto" w:fill="D9F2D0"/>
            <w:vAlign w:val="center"/>
          </w:tcPr>
          <w:p w14:paraId="377FB1F8" w14:textId="77777777" w:rsidR="001A5EF4" w:rsidRPr="00331F30" w:rsidRDefault="001A5EF4" w:rsidP="006B31EE">
            <w:pPr>
              <w:jc w:val="center"/>
              <w:rPr>
                <w:b/>
                <w:sz w:val="16"/>
                <w:szCs w:val="16"/>
              </w:rPr>
            </w:pPr>
            <w:r w:rsidRPr="00331F30">
              <w:rPr>
                <w:rFonts w:eastAsia="Calibri"/>
                <w:b/>
                <w:sz w:val="16"/>
                <w:szCs w:val="16"/>
              </w:rPr>
              <w:t xml:space="preserve">Sim (x) Não ( 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A5EF4" w:rsidRPr="00331F30" w14:paraId="5B29AEAC" w14:textId="77777777" w:rsidTr="006B31EE">
        <w:trPr>
          <w:trHeight w:val="321"/>
        </w:trPr>
        <w:tc>
          <w:tcPr>
            <w:tcW w:w="386" w:type="pct"/>
            <w:shd w:val="clear" w:color="auto" w:fill="D9F2D0"/>
            <w:vAlign w:val="center"/>
          </w:tcPr>
          <w:p w14:paraId="4E24B05F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92" w:type="pct"/>
            <w:shd w:val="clear" w:color="auto" w:fill="D9F2D0"/>
            <w:vAlign w:val="center"/>
          </w:tcPr>
          <w:p w14:paraId="708EFEC8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QTD</w:t>
            </w:r>
          </w:p>
        </w:tc>
        <w:tc>
          <w:tcPr>
            <w:tcW w:w="548" w:type="pct"/>
            <w:shd w:val="clear" w:color="auto" w:fill="D9F2D0"/>
            <w:vAlign w:val="center"/>
          </w:tcPr>
          <w:p w14:paraId="38D1296E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UNIDADE DE MEDIDA</w:t>
            </w:r>
          </w:p>
        </w:tc>
        <w:tc>
          <w:tcPr>
            <w:tcW w:w="548" w:type="pct"/>
            <w:shd w:val="clear" w:color="auto" w:fill="D9F2D0"/>
            <w:vAlign w:val="center"/>
          </w:tcPr>
          <w:p w14:paraId="4B2F34A8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1723" w:type="pct"/>
            <w:shd w:val="clear" w:color="auto" w:fill="D9F2D0"/>
            <w:vAlign w:val="center"/>
          </w:tcPr>
          <w:p w14:paraId="6D03E6BF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ESPECIFICAÇÕES</w:t>
            </w:r>
          </w:p>
        </w:tc>
        <w:tc>
          <w:tcPr>
            <w:tcW w:w="626" w:type="pct"/>
            <w:shd w:val="clear" w:color="auto" w:fill="D9F2D0"/>
            <w:vAlign w:val="center"/>
          </w:tcPr>
          <w:p w14:paraId="49B825CC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VALOR UNITÁRIO</w:t>
            </w:r>
          </w:p>
        </w:tc>
        <w:tc>
          <w:tcPr>
            <w:tcW w:w="777" w:type="pct"/>
            <w:shd w:val="clear" w:color="auto" w:fill="D9F2D0"/>
            <w:vAlign w:val="center"/>
          </w:tcPr>
          <w:p w14:paraId="388ED90E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VALOR TOTAL</w:t>
            </w:r>
          </w:p>
        </w:tc>
      </w:tr>
      <w:tr w:rsidR="00E56C27" w:rsidRPr="00331F30" w14:paraId="261BF69C" w14:textId="77777777" w:rsidTr="00E56C27">
        <w:trPr>
          <w:trHeight w:val="20"/>
        </w:trPr>
        <w:tc>
          <w:tcPr>
            <w:tcW w:w="386" w:type="pct"/>
            <w:shd w:val="clear" w:color="auto" w:fill="F2F2F2"/>
            <w:vAlign w:val="center"/>
          </w:tcPr>
          <w:p w14:paraId="691EEC5A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2" w:type="pct"/>
            <w:shd w:val="clear" w:color="auto" w:fill="F2F2F2"/>
            <w:vAlign w:val="center"/>
          </w:tcPr>
          <w:p w14:paraId="625E19CD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4F10B6E5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4F455ED5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601007</w:t>
            </w:r>
          </w:p>
        </w:tc>
        <w:tc>
          <w:tcPr>
            <w:tcW w:w="1723" w:type="pct"/>
            <w:shd w:val="clear" w:color="auto" w:fill="F2F2F2"/>
            <w:vAlign w:val="center"/>
          </w:tcPr>
          <w:p w14:paraId="335403F2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SSD tipo 2: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 xml:space="preserve"> SSD M.2 2280 256GB NVMe PCIe Gen3 x4 M Key. Garantia de 1 (um) ano.</w:t>
            </w:r>
          </w:p>
        </w:tc>
        <w:tc>
          <w:tcPr>
            <w:tcW w:w="626" w:type="pct"/>
            <w:shd w:val="clear" w:color="auto" w:fill="F2F2F2"/>
            <w:vAlign w:val="center"/>
          </w:tcPr>
          <w:p w14:paraId="39282A57" w14:textId="17AC24BF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96EBA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F2F2F2"/>
            <w:vAlign w:val="center"/>
          </w:tcPr>
          <w:p w14:paraId="54ED13C3" w14:textId="24AE773C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B96EBA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7F8E8461" w14:textId="77777777" w:rsidTr="00E56C27">
        <w:trPr>
          <w:trHeight w:val="20"/>
        </w:trPr>
        <w:tc>
          <w:tcPr>
            <w:tcW w:w="386" w:type="pct"/>
            <w:shd w:val="clear" w:color="auto" w:fill="F2F2F2"/>
            <w:vAlign w:val="center"/>
          </w:tcPr>
          <w:p w14:paraId="19D07F30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  <w:tc>
          <w:tcPr>
            <w:tcW w:w="392" w:type="pct"/>
            <w:shd w:val="clear" w:color="auto" w:fill="F2F2F2"/>
            <w:vAlign w:val="center"/>
          </w:tcPr>
          <w:p w14:paraId="6EAC16F9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5AFA33AF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 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4B9DA9B3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471258 </w:t>
            </w:r>
          </w:p>
        </w:tc>
        <w:tc>
          <w:tcPr>
            <w:tcW w:w="1723" w:type="pct"/>
            <w:shd w:val="clear" w:color="auto" w:fill="F2F2F2"/>
            <w:vAlign w:val="center"/>
          </w:tcPr>
          <w:p w14:paraId="7A840BCB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Memória RAM tipo 4:</w:t>
            </w:r>
            <w:r w:rsidRPr="00331F30">
              <w:rPr>
                <w:rFonts w:eastAsia="Calibri"/>
                <w:sz w:val="16"/>
                <w:szCs w:val="16"/>
              </w:rPr>
              <w:t xml:space="preserve">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Memória notebook DDR4 8GB 2666MHZ. Garantia de 90 (noventa) dias.</w:t>
            </w:r>
          </w:p>
        </w:tc>
        <w:tc>
          <w:tcPr>
            <w:tcW w:w="626" w:type="pct"/>
            <w:shd w:val="clear" w:color="auto" w:fill="F2F2F2"/>
            <w:vAlign w:val="center"/>
          </w:tcPr>
          <w:p w14:paraId="36C56DCC" w14:textId="471BA2B1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20D37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F2F2F2"/>
            <w:vAlign w:val="center"/>
          </w:tcPr>
          <w:p w14:paraId="4F11F91C" w14:textId="36BAB23B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720D37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331F30" w14:paraId="24667933" w14:textId="77777777" w:rsidTr="00E56C27">
        <w:trPr>
          <w:trHeight w:val="383"/>
        </w:trPr>
        <w:tc>
          <w:tcPr>
            <w:tcW w:w="386" w:type="pct"/>
            <w:shd w:val="clear" w:color="auto" w:fill="F2F2F2"/>
            <w:vAlign w:val="center"/>
          </w:tcPr>
          <w:p w14:paraId="19797BF2" w14:textId="77777777" w:rsidR="00E56C27" w:rsidRPr="00331F30" w:rsidRDefault="00E56C27" w:rsidP="00E56C2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</w:t>
            </w:r>
          </w:p>
        </w:tc>
        <w:tc>
          <w:tcPr>
            <w:tcW w:w="392" w:type="pct"/>
            <w:shd w:val="clear" w:color="auto" w:fill="F2F2F2"/>
            <w:vAlign w:val="center"/>
          </w:tcPr>
          <w:p w14:paraId="6494AC62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36A611A8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unidade 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1C001CA5" w14:textId="77777777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color w:val="000000"/>
                <w:sz w:val="16"/>
                <w:szCs w:val="16"/>
              </w:rPr>
              <w:t>431058 </w:t>
            </w:r>
          </w:p>
        </w:tc>
        <w:tc>
          <w:tcPr>
            <w:tcW w:w="1723" w:type="pct"/>
            <w:shd w:val="clear" w:color="auto" w:fill="F2F2F2"/>
            <w:vAlign w:val="center"/>
          </w:tcPr>
          <w:p w14:paraId="4B57ABC6" w14:textId="77777777" w:rsidR="00E56C27" w:rsidRPr="00331F30" w:rsidRDefault="00E56C27" w:rsidP="00E56C27">
            <w:pPr>
              <w:jc w:val="both"/>
              <w:rPr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 xml:space="preserve">Carregador notebook: </w:t>
            </w:r>
            <w:r w:rsidRPr="00331F30">
              <w:rPr>
                <w:rFonts w:eastAsia="Calibri"/>
                <w:color w:val="000000"/>
                <w:sz w:val="16"/>
                <w:szCs w:val="16"/>
              </w:rPr>
              <w:t>Carregador notebook com potência de 65w, tensão de saída de 19.5V e corrente de 3.34A, compatível com o modelo DELL LA65NM130. Garantia de 1 (um) ano.</w:t>
            </w:r>
          </w:p>
        </w:tc>
        <w:tc>
          <w:tcPr>
            <w:tcW w:w="626" w:type="pct"/>
            <w:shd w:val="clear" w:color="auto" w:fill="F2F2F2"/>
            <w:vAlign w:val="center"/>
          </w:tcPr>
          <w:p w14:paraId="41185819" w14:textId="0A3D2FCE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720D37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7" w:type="pct"/>
            <w:shd w:val="clear" w:color="auto" w:fill="F2F2F2"/>
            <w:vAlign w:val="center"/>
          </w:tcPr>
          <w:p w14:paraId="5DF89484" w14:textId="4281292B" w:rsidR="00E56C27" w:rsidRPr="00331F30" w:rsidRDefault="00E56C27" w:rsidP="00E56C27">
            <w:pPr>
              <w:jc w:val="center"/>
              <w:rPr>
                <w:color w:val="000000"/>
                <w:sz w:val="16"/>
                <w:szCs w:val="16"/>
              </w:rPr>
            </w:pPr>
            <w:r w:rsidRPr="00720D37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1A5EF4" w:rsidRPr="00331F30" w14:paraId="4C39F515" w14:textId="77777777" w:rsidTr="006B31EE">
        <w:trPr>
          <w:trHeight w:val="35"/>
        </w:trPr>
        <w:tc>
          <w:tcPr>
            <w:tcW w:w="3597" w:type="pct"/>
            <w:gridSpan w:val="5"/>
            <w:shd w:val="clear" w:color="auto" w:fill="D9F2D0"/>
            <w:vAlign w:val="center"/>
          </w:tcPr>
          <w:p w14:paraId="0A446CED" w14:textId="77777777" w:rsidR="001A5EF4" w:rsidRPr="00331F30" w:rsidRDefault="001A5EF4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VALOR GLOBAL MÁXIMO DO GRUPO 3</w:t>
            </w:r>
          </w:p>
        </w:tc>
        <w:tc>
          <w:tcPr>
            <w:tcW w:w="1403" w:type="pct"/>
            <w:gridSpan w:val="2"/>
            <w:shd w:val="clear" w:color="auto" w:fill="D9F2D0"/>
            <w:vAlign w:val="center"/>
          </w:tcPr>
          <w:p w14:paraId="7E1379F0" w14:textId="768F6071" w:rsidR="001A5EF4" w:rsidRPr="00331F30" w:rsidRDefault="00E56C27" w:rsidP="006B31E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</w:tbl>
    <w:p w14:paraId="4D7667CC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826"/>
        <w:gridCol w:w="942"/>
        <w:gridCol w:w="945"/>
        <w:gridCol w:w="892"/>
        <w:gridCol w:w="2925"/>
        <w:gridCol w:w="1124"/>
        <w:gridCol w:w="1397"/>
      </w:tblGrid>
      <w:tr w:rsidR="001A5EF4" w:rsidRPr="001A5EF4" w14:paraId="3E0386A7" w14:textId="77777777" w:rsidTr="00E56C27">
        <w:trPr>
          <w:trHeight w:val="394"/>
        </w:trPr>
        <w:tc>
          <w:tcPr>
            <w:tcW w:w="4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textDirection w:val="btLr"/>
            <w:vAlign w:val="center"/>
          </w:tcPr>
          <w:p w14:paraId="5791772B" w14:textId="77777777" w:rsidR="001A5EF4" w:rsidRPr="001A5EF4" w:rsidRDefault="001A5EF4" w:rsidP="001A5EF4">
            <w:pPr>
              <w:spacing w:line="240" w:lineRule="auto"/>
              <w:ind w:left="113" w:right="113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Grupo 4</w:t>
            </w:r>
          </w:p>
        </w:tc>
        <w:tc>
          <w:tcPr>
            <w:tcW w:w="4544" w:type="pct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02958B09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ITENS NOTEBOOK- EXCLUSIVO ME/EPP</w:t>
            </w:r>
          </w:p>
        </w:tc>
      </w:tr>
      <w:tr w:rsidR="001A5EF4" w:rsidRPr="001A5EF4" w14:paraId="698B05F9" w14:textId="77777777" w:rsidTr="00E56C27">
        <w:trPr>
          <w:trHeight w:val="486"/>
        </w:trPr>
        <w:tc>
          <w:tcPr>
            <w:tcW w:w="4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285178DB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58963F46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Benefícios LC 123/2006</w:t>
            </w:r>
          </w:p>
        </w:tc>
        <w:tc>
          <w:tcPr>
            <w:tcW w:w="300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170658D8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sz w:val="16"/>
                <w:szCs w:val="16"/>
                <w:lang w:eastAsia="pt-BR"/>
              </w:rPr>
              <w:t>Sim (x) Não ( )</w:t>
            </w:r>
          </w:p>
        </w:tc>
      </w:tr>
      <w:tr w:rsidR="001A5EF4" w:rsidRPr="001A5EF4" w14:paraId="56C6A269" w14:textId="77777777" w:rsidTr="00E56C27">
        <w:trPr>
          <w:trHeight w:val="170"/>
        </w:trPr>
        <w:tc>
          <w:tcPr>
            <w:tcW w:w="4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15710171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2B5119AE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QUANT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6152E294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43CB34B6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CATMAT</w:t>
            </w:r>
          </w:p>
        </w:tc>
        <w:tc>
          <w:tcPr>
            <w:tcW w:w="161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65B20800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ESPECIFICAÇÕES</w:t>
            </w:r>
          </w:p>
        </w:tc>
        <w:tc>
          <w:tcPr>
            <w:tcW w:w="62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79E9D8B0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VALOR UNITÁRIO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9F2D0"/>
            <w:vAlign w:val="center"/>
          </w:tcPr>
          <w:p w14:paraId="1B2ADF56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</w:tr>
      <w:tr w:rsidR="001A5EF4" w:rsidRPr="001A5EF4" w14:paraId="74ED4FDE" w14:textId="77777777" w:rsidTr="00E56C27">
        <w:trPr>
          <w:trHeight w:val="170"/>
        </w:trPr>
        <w:tc>
          <w:tcPr>
            <w:tcW w:w="4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1D516A84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577011A9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016253B8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34326CB9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0D81B580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441CA8A2" w14:textId="77777777" w:rsidR="001A5EF4" w:rsidRPr="001A5EF4" w:rsidRDefault="001A5EF4" w:rsidP="001A5E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1A7E28BB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E56C27" w:rsidRPr="001A5EF4" w14:paraId="37D571A0" w14:textId="77777777" w:rsidTr="00E56C27">
        <w:trPr>
          <w:trHeight w:val="170"/>
        </w:trPr>
        <w:tc>
          <w:tcPr>
            <w:tcW w:w="4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F1DF1DB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D4424A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BFFE1A8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280BC87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482929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FCD605C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Bateria tipo 1:</w:t>
            </w: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Bateria Dell 42 Wh tipo 0G74G. Garantia de 180 (cento e oitenta) dias.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D4D9317" w14:textId="026518FC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5766C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4107E98" w14:textId="1943DAD0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5766C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E56C27" w:rsidRPr="001A5EF4" w14:paraId="782EFA3E" w14:textId="77777777" w:rsidTr="00E56C27">
        <w:trPr>
          <w:trHeight w:val="549"/>
        </w:trPr>
        <w:tc>
          <w:tcPr>
            <w:tcW w:w="4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274C9E4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571DD3D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C41237C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FB19FA" w14:textId="77777777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482929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203BB4" w14:textId="77777777" w:rsidR="00E56C27" w:rsidRPr="001A5EF4" w:rsidRDefault="00E56C27" w:rsidP="00E56C27">
            <w:pPr>
              <w:spacing w:line="240" w:lineRule="auto"/>
              <w:jc w:val="both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 xml:space="preserve">Bateria tipo 2: </w:t>
            </w:r>
            <w:r w:rsidRPr="001A5EF4">
              <w:rPr>
                <w:rFonts w:eastAsia="Calibri"/>
                <w:color w:val="000000"/>
                <w:sz w:val="16"/>
                <w:szCs w:val="16"/>
                <w:lang w:eastAsia="pt-BR"/>
              </w:rPr>
              <w:t>Bateria Dell 60 Wh tipo F3YGT. Garantia de 180 (cento e oitenta) dias.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F6180CC" w14:textId="7B7C1DC9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5766C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A96D9D1" w14:textId="1398040E" w:rsidR="00E56C27" w:rsidRPr="001A5EF4" w:rsidRDefault="00E56C27" w:rsidP="00E56C27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pt-BR"/>
              </w:rPr>
            </w:pPr>
            <w:r w:rsidRPr="005766C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  <w:tr w:rsidR="001A5EF4" w:rsidRPr="001A5EF4" w14:paraId="1A50FDA9" w14:textId="77777777" w:rsidTr="00E56C27">
        <w:trPr>
          <w:trHeight w:val="170"/>
        </w:trPr>
        <w:tc>
          <w:tcPr>
            <w:tcW w:w="3607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F2D0"/>
          </w:tcPr>
          <w:p w14:paraId="3D431C20" w14:textId="77777777" w:rsidR="001A5EF4" w:rsidRPr="001A5EF4" w:rsidRDefault="001A5EF4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1A5EF4"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  <w:t>VALOR GLOBAL MÁXIMO DO GRUPO 4</w:t>
            </w:r>
          </w:p>
        </w:tc>
        <w:tc>
          <w:tcPr>
            <w:tcW w:w="139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F2D0"/>
            <w:vAlign w:val="center"/>
          </w:tcPr>
          <w:p w14:paraId="529ADE5A" w14:textId="3C24F9F5" w:rsidR="001A5EF4" w:rsidRPr="001A5EF4" w:rsidRDefault="00E56C27" w:rsidP="001A5EF4">
            <w:pPr>
              <w:spacing w:line="240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pt-BR"/>
              </w:rPr>
            </w:pPr>
            <w:r w:rsidRPr="00331F30">
              <w:rPr>
                <w:rFonts w:eastAsia="Calibri"/>
                <w:b/>
                <w:color w:val="000000"/>
                <w:sz w:val="16"/>
                <w:szCs w:val="16"/>
              </w:rPr>
              <w:t>R$</w:t>
            </w:r>
          </w:p>
        </w:tc>
      </w:tr>
    </w:tbl>
    <w:p w14:paraId="7F73AA1D" w14:textId="77777777" w:rsidR="001A5EF4" w:rsidRDefault="001A5E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4"/>
        </w:rPr>
      </w:pPr>
    </w:p>
    <w:tbl>
      <w:tblPr>
        <w:tblStyle w:val="a3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5C27D9" w14:paraId="398317EC" w14:textId="77777777">
        <w:tc>
          <w:tcPr>
            <w:tcW w:w="9061" w:type="dxa"/>
            <w:gridSpan w:val="3"/>
            <w:shd w:val="clear" w:color="auto" w:fill="D9F2D0"/>
          </w:tcPr>
          <w:p w14:paraId="0F012207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Somente para ME ou EPP regulamentada pela Lei Complementar n° 123/06</w:t>
            </w:r>
          </w:p>
        </w:tc>
      </w:tr>
      <w:tr w:rsidR="005C27D9" w14:paraId="2722C857" w14:textId="77777777">
        <w:tc>
          <w:tcPr>
            <w:tcW w:w="3020" w:type="dxa"/>
            <w:shd w:val="clear" w:color="auto" w:fill="F2F2F2"/>
          </w:tcPr>
          <w:p w14:paraId="7539871B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Em atendimento ao art. 4º, §2º, da Lei Federal nº 14.133/2021, visando à obtenção dos benefícios da Lei Complementar nº 123/2006, </w:t>
            </w:r>
            <w:r>
              <w:rPr>
                <w:b/>
                <w:color w:val="000000"/>
                <w:szCs w:val="24"/>
              </w:rPr>
              <w:t>declaro que:</w:t>
            </w:r>
          </w:p>
        </w:tc>
        <w:tc>
          <w:tcPr>
            <w:tcW w:w="3020" w:type="dxa"/>
            <w:shd w:val="clear" w:color="auto" w:fill="F2F2F2"/>
          </w:tcPr>
          <w:p w14:paraId="3B0116DD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( )</w:t>
            </w:r>
          </w:p>
          <w:p w14:paraId="33D6E019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NÃO CELEBRAMOS </w:t>
            </w:r>
            <w:r>
              <w:rPr>
                <w:color w:val="000000"/>
                <w:szCs w:val="24"/>
              </w:rPr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/>
          </w:tcPr>
          <w:p w14:paraId="555FE151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( )</w:t>
            </w:r>
          </w:p>
          <w:p w14:paraId="5A53D025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CELEBRAMOS </w:t>
            </w:r>
            <w:r>
              <w:rPr>
                <w:color w:val="000000"/>
                <w:szCs w:val="24"/>
              </w:rPr>
              <w:t>contratos com a Administração Pública no ano-calendário de realização da licitação cujos valores somados extrapolam a receita bruta máxima admitida para fins</w:t>
            </w:r>
          </w:p>
          <w:p w14:paraId="5C64EE9C" w14:textId="77777777" w:rsidR="005C27D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de enquadramento como empresa de pequeno porte.</w:t>
            </w:r>
          </w:p>
        </w:tc>
      </w:tr>
    </w:tbl>
    <w:p w14:paraId="7C6C7A22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4"/>
        </w:rPr>
      </w:pPr>
    </w:p>
    <w:p w14:paraId="689663F5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Demais condições:</w:t>
      </w:r>
    </w:p>
    <w:p w14:paraId="6C85A6B6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E5985DB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14:paraId="2B711892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2CC8761A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14:paraId="21678DDA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c) Esta empresa proponente atesta o atendimento das exigências técnicas previstas no Termo de Referência (Anexo I) do Edital;</w:t>
      </w:r>
    </w:p>
    <w:p w14:paraId="1CB9A5D6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14:paraId="191BBAB7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c) O prazo de validade da presente proposta será de 90 dias a partir da data da sessão de abertura do pregão eletrônico.</w:t>
      </w:r>
    </w:p>
    <w:p w14:paraId="57D6CC41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14:paraId="101E56DD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Cs w:val="24"/>
        </w:rPr>
      </w:pPr>
      <w:r>
        <w:rPr>
          <w:color w:val="000000"/>
          <w:szCs w:val="24"/>
        </w:rPr>
        <w:t>Local e data: _____________, _____ de ____________ de 20___.</w:t>
      </w:r>
    </w:p>
    <w:p w14:paraId="76F7148E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Cs w:val="24"/>
        </w:rPr>
      </w:pPr>
    </w:p>
    <w:p w14:paraId="7FDC753B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</w:pPr>
    </w:p>
    <w:p w14:paraId="478A5D22" w14:textId="77777777" w:rsidR="005C27D9" w:rsidRDefault="005C27D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</w:pPr>
    </w:p>
    <w:p w14:paraId="2223AF34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Cs w:val="24"/>
        </w:rPr>
      </w:pPr>
      <w:r>
        <w:rPr>
          <w:color w:val="000000"/>
          <w:szCs w:val="24"/>
        </w:rPr>
        <w:t>________________________________________</w:t>
      </w:r>
    </w:p>
    <w:p w14:paraId="4E052D2A" w14:textId="77777777" w:rsidR="005C27D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Cs w:val="24"/>
        </w:rPr>
      </w:pPr>
      <w:r>
        <w:rPr>
          <w:color w:val="000000"/>
          <w:szCs w:val="24"/>
        </w:rPr>
        <w:t>Identificação e Assinatura do Representante Legal da Empresa Proponente</w:t>
      </w:r>
    </w:p>
    <w:p w14:paraId="37A284D7" w14:textId="77777777" w:rsidR="005C27D9" w:rsidRDefault="005C27D9">
      <w:pPr>
        <w:spacing w:line="276" w:lineRule="auto"/>
        <w:jc w:val="both"/>
      </w:pPr>
    </w:p>
    <w:sectPr w:rsidR="005C27D9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5983D" w14:textId="77777777" w:rsidR="00BD7A52" w:rsidRDefault="00BD7A52">
      <w:pPr>
        <w:spacing w:line="240" w:lineRule="auto"/>
      </w:pPr>
      <w:r>
        <w:separator/>
      </w:r>
    </w:p>
  </w:endnote>
  <w:endnote w:type="continuationSeparator" w:id="0">
    <w:p w14:paraId="076FD425" w14:textId="77777777" w:rsidR="00BD7A52" w:rsidRDefault="00BD7A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9C3B7" w14:textId="77777777" w:rsidR="001A5EF4" w:rsidRPr="001A5EF4" w:rsidRDefault="001A5EF4" w:rsidP="001A5EF4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b/>
        <w:color w:val="000000"/>
        <w:sz w:val="16"/>
        <w:szCs w:val="16"/>
        <w:lang w:val="x-none" w:eastAsia="ar-SA"/>
      </w:rPr>
    </w:pPr>
    <w:r w:rsidRPr="001A5EF4">
      <w:rPr>
        <w:rFonts w:eastAsia="Times New Roman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39A62377" w14:textId="77777777" w:rsidR="001A5EF4" w:rsidRPr="001A5EF4" w:rsidRDefault="001A5EF4" w:rsidP="001A5EF4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b/>
        <w:color w:val="000000"/>
        <w:sz w:val="16"/>
        <w:szCs w:val="16"/>
        <w:lang w:val="x-none" w:eastAsia="ar-SA"/>
      </w:rPr>
    </w:pPr>
    <w:r w:rsidRPr="001A5EF4">
      <w:rPr>
        <w:rFonts w:eastAsia="Times New Roman"/>
        <w:b/>
        <w:color w:val="000000"/>
        <w:sz w:val="16"/>
        <w:szCs w:val="16"/>
        <w:lang w:val="x-none" w:eastAsia="ar-SA"/>
      </w:rPr>
      <w:t>DEFENSORIA PÚBLICA DO ESTADO DO PARANÁ</w:t>
    </w:r>
  </w:p>
  <w:p w14:paraId="35AB59DB" w14:textId="77777777" w:rsidR="001A5EF4" w:rsidRPr="001A5EF4" w:rsidRDefault="001A5EF4" w:rsidP="001A5EF4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i/>
        <w:color w:val="000000"/>
        <w:sz w:val="16"/>
        <w:szCs w:val="16"/>
        <w:lang w:eastAsia="ar-SA"/>
      </w:rPr>
    </w:pPr>
    <w:r w:rsidRPr="001A5EF4">
      <w:rPr>
        <w:rFonts w:eastAsia="Times New Roman"/>
        <w:i/>
        <w:color w:val="000000"/>
        <w:sz w:val="16"/>
        <w:szCs w:val="16"/>
        <w:lang w:eastAsia="ar-SA"/>
      </w:rPr>
      <w:t>Rua Mateus Leme</w:t>
    </w:r>
    <w:r w:rsidRPr="001A5EF4">
      <w:rPr>
        <w:rFonts w:eastAsia="Times New Roman"/>
        <w:i/>
        <w:color w:val="000000"/>
        <w:sz w:val="16"/>
        <w:szCs w:val="16"/>
        <w:lang w:val="x-none" w:eastAsia="ar-SA"/>
      </w:rPr>
      <w:t>,</w:t>
    </w:r>
    <w:r w:rsidRPr="001A5EF4">
      <w:rPr>
        <w:rFonts w:eastAsia="Times New Roman"/>
        <w:i/>
        <w:color w:val="000000"/>
        <w:sz w:val="16"/>
        <w:szCs w:val="16"/>
        <w:lang w:eastAsia="ar-SA"/>
      </w:rPr>
      <w:t xml:space="preserve"> nº 1908</w:t>
    </w:r>
    <w:r w:rsidRPr="001A5EF4">
      <w:rPr>
        <w:rFonts w:eastAsia="Times New Roman"/>
        <w:i/>
        <w:color w:val="000000"/>
        <w:sz w:val="16"/>
        <w:szCs w:val="16"/>
        <w:lang w:val="x-none" w:eastAsia="ar-SA"/>
      </w:rPr>
      <w:t xml:space="preserve"> – </w:t>
    </w:r>
    <w:r w:rsidRPr="001A5EF4">
      <w:rPr>
        <w:rFonts w:eastAsia="Times New Roman"/>
        <w:i/>
        <w:color w:val="000000"/>
        <w:sz w:val="16"/>
        <w:szCs w:val="16"/>
        <w:lang w:eastAsia="ar-SA"/>
      </w:rPr>
      <w:t>Centro Cívico</w:t>
    </w:r>
    <w:r w:rsidRPr="001A5EF4">
      <w:rPr>
        <w:rFonts w:eastAsia="Times New Roman"/>
        <w:i/>
        <w:color w:val="000000"/>
        <w:sz w:val="16"/>
        <w:szCs w:val="16"/>
        <w:lang w:val="x-none" w:eastAsia="ar-SA"/>
      </w:rPr>
      <w:t xml:space="preserve"> – </w:t>
    </w:r>
    <w:r w:rsidRPr="001A5EF4">
      <w:rPr>
        <w:rFonts w:eastAsia="Times New Roman"/>
        <w:i/>
        <w:color w:val="000000"/>
        <w:sz w:val="16"/>
        <w:szCs w:val="16"/>
        <w:lang w:eastAsia="ar-SA"/>
      </w:rPr>
      <w:t>Curitiba/Paraná. CEP 80.530-010</w:t>
    </w:r>
    <w:r w:rsidRPr="001A5EF4">
      <w:rPr>
        <w:rFonts w:eastAsia="Times New Roman"/>
        <w:i/>
        <w:color w:val="000000"/>
        <w:sz w:val="16"/>
        <w:szCs w:val="16"/>
        <w:lang w:val="x-none" w:eastAsia="ar-SA"/>
      </w:rPr>
      <w:t>. Telefone: (</w:t>
    </w:r>
    <w:r w:rsidRPr="001A5EF4">
      <w:rPr>
        <w:rFonts w:eastAsia="Times New Roman"/>
        <w:i/>
        <w:color w:val="000000"/>
        <w:sz w:val="16"/>
        <w:szCs w:val="16"/>
        <w:lang w:eastAsia="ar-SA"/>
      </w:rPr>
      <w:t>41</w:t>
    </w:r>
    <w:r w:rsidRPr="001A5EF4">
      <w:rPr>
        <w:rFonts w:eastAsia="Times New Roman"/>
        <w:i/>
        <w:color w:val="000000"/>
        <w:sz w:val="16"/>
        <w:szCs w:val="16"/>
        <w:lang w:val="x-none" w:eastAsia="ar-SA"/>
      </w:rPr>
      <w:t xml:space="preserve">) </w:t>
    </w:r>
    <w:r w:rsidRPr="001A5EF4">
      <w:rPr>
        <w:rFonts w:eastAsia="Times New Roman"/>
        <w:i/>
        <w:color w:val="000000"/>
        <w:sz w:val="16"/>
        <w:szCs w:val="16"/>
        <w:lang w:eastAsia="ar-SA"/>
      </w:rPr>
      <w:t>3313-7380</w:t>
    </w:r>
  </w:p>
  <w:p w14:paraId="09A3074B" w14:textId="77777777" w:rsidR="001A5EF4" w:rsidRPr="001A5EF4" w:rsidRDefault="001A5EF4" w:rsidP="001A5EF4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i/>
        <w:color w:val="000000"/>
        <w:sz w:val="16"/>
        <w:szCs w:val="16"/>
        <w:lang w:eastAsia="ar-SA"/>
      </w:rPr>
    </w:pPr>
  </w:p>
  <w:p w14:paraId="4E5B8ED4" w14:textId="77777777" w:rsidR="001A5EF4" w:rsidRPr="001A5EF4" w:rsidRDefault="001A5EF4" w:rsidP="001A5EF4">
    <w:pPr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b/>
        <w:bCs/>
        <w:sz w:val="16"/>
        <w:szCs w:val="16"/>
        <w:lang w:eastAsia="ar-SA"/>
      </w:rPr>
    </w:pPr>
    <w:r w:rsidRPr="001A5EF4">
      <w:rPr>
        <w:rFonts w:eastAsia="Times New Roman"/>
        <w:b/>
        <w:bCs/>
        <w:sz w:val="16"/>
        <w:szCs w:val="16"/>
        <w:lang w:eastAsia="ar-SA"/>
      </w:rPr>
      <w:t xml:space="preserve">EDITAL DE PREGÃO ELETRÔNICO N.º </w:t>
    </w:r>
    <w:bookmarkStart w:id="0" w:name="número_pregão"/>
    <w:bookmarkEnd w:id="0"/>
    <w:r w:rsidRPr="001A5EF4">
      <w:rPr>
        <w:rFonts w:eastAsia="Times New Roman"/>
        <w:b/>
        <w:bCs/>
        <w:sz w:val="16"/>
        <w:szCs w:val="16"/>
        <w:lang w:eastAsia="ar-SA"/>
      </w:rPr>
      <w:t xml:space="preserve">90019/2025 </w:t>
    </w:r>
    <w:r w:rsidRPr="001A5EF4">
      <w:rPr>
        <w:rFonts w:eastAsia="Times New Roman"/>
        <w:sz w:val="16"/>
        <w:szCs w:val="16"/>
        <w:lang w:eastAsia="ar-SA"/>
      </w:rPr>
      <w:t>– SEI n.º 24.0.000000076-7</w:t>
    </w:r>
  </w:p>
  <w:p w14:paraId="298338E7" w14:textId="77777777" w:rsidR="001A5EF4" w:rsidRPr="001A5EF4" w:rsidRDefault="001A5EF4" w:rsidP="001A5EF4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/>
        <w:i/>
        <w:color w:val="000000"/>
        <w:sz w:val="16"/>
        <w:szCs w:val="16"/>
        <w:lang w:eastAsia="ar-SA"/>
      </w:rPr>
    </w:pPr>
  </w:p>
  <w:p w14:paraId="1AFCD5BC" w14:textId="388235DC" w:rsidR="005C27D9" w:rsidRPr="001A5EF4" w:rsidRDefault="001A5EF4" w:rsidP="001A5EF4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/>
        <w:b/>
        <w:bCs/>
        <w:sz w:val="20"/>
        <w:szCs w:val="20"/>
        <w:lang w:val="x-none" w:eastAsia="ar-SA"/>
      </w:rPr>
    </w:pPr>
    <w:r w:rsidRPr="001A5EF4">
      <w:rPr>
        <w:rFonts w:eastAsia="Times New Roman"/>
        <w:sz w:val="20"/>
        <w:szCs w:val="20"/>
        <w:lang w:eastAsia="ar-SA"/>
      </w:rPr>
      <w:t xml:space="preserve">Página </w: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begin"/>
    </w:r>
    <w:r w:rsidRPr="001A5EF4">
      <w:rPr>
        <w:rFonts w:eastAsia="Times New Roman"/>
        <w:b/>
        <w:bCs/>
        <w:sz w:val="20"/>
        <w:szCs w:val="20"/>
        <w:lang w:val="x-none" w:eastAsia="ar-SA"/>
      </w:rPr>
      <w:instrText>PAGE</w:instrTex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separate"/>
    </w:r>
    <w:r w:rsidRPr="001A5EF4">
      <w:rPr>
        <w:rFonts w:eastAsia="Times New Roman"/>
        <w:b/>
        <w:bCs/>
        <w:sz w:val="20"/>
        <w:szCs w:val="20"/>
        <w:lang w:val="x-none" w:eastAsia="ar-SA"/>
      </w:rPr>
      <w:t>10</w: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end"/>
    </w:r>
    <w:r w:rsidRPr="001A5EF4">
      <w:rPr>
        <w:rFonts w:eastAsia="Times New Roman"/>
        <w:sz w:val="20"/>
        <w:szCs w:val="20"/>
        <w:lang w:eastAsia="ar-SA"/>
      </w:rPr>
      <w:t xml:space="preserve"> de </w: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begin"/>
    </w:r>
    <w:r w:rsidRPr="001A5EF4">
      <w:rPr>
        <w:rFonts w:eastAsia="Times New Roman"/>
        <w:b/>
        <w:bCs/>
        <w:sz w:val="20"/>
        <w:szCs w:val="20"/>
        <w:lang w:val="x-none" w:eastAsia="ar-SA"/>
      </w:rPr>
      <w:instrText>NUMPAGES</w:instrTex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separate"/>
    </w:r>
    <w:r w:rsidRPr="001A5EF4">
      <w:rPr>
        <w:rFonts w:eastAsia="Times New Roman"/>
        <w:b/>
        <w:bCs/>
        <w:sz w:val="20"/>
        <w:szCs w:val="20"/>
        <w:lang w:val="x-none" w:eastAsia="ar-SA"/>
      </w:rPr>
      <w:t>20</w:t>
    </w:r>
    <w:r w:rsidRPr="001A5EF4">
      <w:rPr>
        <w:rFonts w:eastAsia="Times New Roman"/>
        <w:b/>
        <w:bCs/>
        <w:sz w:val="20"/>
        <w:szCs w:val="20"/>
        <w:lang w:val="x-none"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53C17" w14:textId="77777777" w:rsidR="00BD7A52" w:rsidRDefault="00BD7A52">
      <w:pPr>
        <w:spacing w:line="240" w:lineRule="auto"/>
      </w:pPr>
      <w:r>
        <w:separator/>
      </w:r>
    </w:p>
  </w:footnote>
  <w:footnote w:type="continuationSeparator" w:id="0">
    <w:p w14:paraId="38AAFEB7" w14:textId="77777777" w:rsidR="00BD7A52" w:rsidRDefault="00BD7A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9A8C" w14:textId="77777777" w:rsidR="00E56C27" w:rsidRPr="00E56C27" w:rsidRDefault="00E56C27" w:rsidP="00E56C27">
    <w:pPr>
      <w:tabs>
        <w:tab w:val="left" w:pos="335"/>
      </w:tabs>
      <w:suppressAutoHyphens/>
      <w:spacing w:line="240" w:lineRule="auto"/>
      <w:rPr>
        <w:rFonts w:eastAsia="Times New Roman"/>
        <w:b/>
        <w:sz w:val="20"/>
        <w:szCs w:val="20"/>
        <w:lang w:eastAsia="ar-SA"/>
      </w:rPr>
    </w:pPr>
    <w:r w:rsidRPr="00E56C27">
      <w:rPr>
        <w:rFonts w:eastAsia="Times New Roman" w:cs="Times New Roman"/>
        <w:noProof/>
        <w:szCs w:val="24"/>
        <w:lang w:eastAsia="pt-BR"/>
      </w:rPr>
      <w:drawing>
        <wp:anchor distT="0" distB="0" distL="114300" distR="114300" simplePos="0" relativeHeight="251659264" behindDoc="0" locked="0" layoutInCell="1" allowOverlap="1" wp14:anchorId="377D218E" wp14:editId="567D0FD0">
          <wp:simplePos x="0" y="0"/>
          <wp:positionH relativeFrom="margin">
            <wp:posOffset>71120</wp:posOffset>
          </wp:positionH>
          <wp:positionV relativeFrom="paragraph">
            <wp:posOffset>82550</wp:posOffset>
          </wp:positionV>
          <wp:extent cx="1517650" cy="628015"/>
          <wp:effectExtent l="0" t="0" r="6350" b="635"/>
          <wp:wrapNone/>
          <wp:docPr id="177064529" name="Imagem 177064529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5BCD12" w14:textId="77777777" w:rsidR="00E56C27" w:rsidRPr="00E56C27" w:rsidRDefault="00E56C27" w:rsidP="00E56C27">
    <w:pPr>
      <w:suppressAutoHyphens/>
      <w:spacing w:line="240" w:lineRule="auto"/>
      <w:rPr>
        <w:rFonts w:eastAsia="Times New Roman"/>
        <w:b/>
        <w:sz w:val="20"/>
        <w:szCs w:val="20"/>
        <w:lang w:eastAsia="ar-SA"/>
      </w:rPr>
    </w:pPr>
  </w:p>
  <w:p w14:paraId="67D6E7B4" w14:textId="77777777" w:rsidR="00E56C27" w:rsidRPr="00E56C27" w:rsidRDefault="00E56C27" w:rsidP="00E56C27">
    <w:pPr>
      <w:suppressAutoHyphens/>
      <w:spacing w:line="240" w:lineRule="auto"/>
      <w:rPr>
        <w:rFonts w:eastAsia="Times New Roman"/>
        <w:b/>
        <w:sz w:val="20"/>
        <w:szCs w:val="20"/>
        <w:lang w:eastAsia="ar-SA"/>
      </w:rPr>
    </w:pPr>
  </w:p>
  <w:p w14:paraId="3A83DF20" w14:textId="77777777" w:rsidR="00E56C27" w:rsidRPr="00E56C27" w:rsidRDefault="00E56C27" w:rsidP="00E56C27">
    <w:pPr>
      <w:suppressAutoHyphens/>
      <w:spacing w:line="240" w:lineRule="auto"/>
      <w:rPr>
        <w:rFonts w:eastAsia="Times New Roman"/>
        <w:b/>
        <w:sz w:val="20"/>
        <w:szCs w:val="20"/>
        <w:lang w:eastAsia="ar-SA"/>
      </w:rPr>
    </w:pPr>
  </w:p>
  <w:p w14:paraId="70139654" w14:textId="77777777" w:rsidR="00E56C27" w:rsidRPr="00E56C27" w:rsidRDefault="00E56C27" w:rsidP="00E56C27">
    <w:pPr>
      <w:suppressLineNumbers/>
      <w:suppressAutoHyphens/>
      <w:spacing w:line="240" w:lineRule="auto"/>
      <w:ind w:left="1276"/>
      <w:rPr>
        <w:rFonts w:eastAsia="Times New Roman"/>
        <w:sz w:val="20"/>
        <w:szCs w:val="20"/>
        <w:lang w:eastAsia="ar-SA"/>
      </w:rPr>
    </w:pPr>
    <w:r w:rsidRPr="00E56C27">
      <w:rPr>
        <w:rFonts w:eastAsia="Times New Roman"/>
        <w:sz w:val="20"/>
        <w:szCs w:val="20"/>
        <w:lang w:eastAsia="ar-SA"/>
      </w:rPr>
      <w:t>Diretoria de Contratações</w:t>
    </w:r>
  </w:p>
  <w:p w14:paraId="3A7B0E33" w14:textId="77777777" w:rsidR="00E56C27" w:rsidRPr="00E56C27" w:rsidRDefault="00E56C27" w:rsidP="00E56C27">
    <w:pPr>
      <w:suppressLineNumbers/>
      <w:spacing w:line="240" w:lineRule="auto"/>
      <w:ind w:left="1276"/>
      <w:rPr>
        <w:rFonts w:eastAsia="Calibri" w:cs="Times New Roman"/>
      </w:rPr>
    </w:pPr>
    <w:r w:rsidRPr="00E56C27">
      <w:rPr>
        <w:rFonts w:eastAsia="Times New Roman"/>
        <w:sz w:val="20"/>
        <w:szCs w:val="20"/>
        <w:lang w:eastAsia="ar-SA"/>
      </w:rPr>
      <w:t>Coordenadoria de Contratações</w:t>
    </w:r>
  </w:p>
  <w:p w14:paraId="1DDC93C5" w14:textId="77777777" w:rsidR="00E56C27" w:rsidRPr="00E56C27" w:rsidRDefault="00E56C27" w:rsidP="00E56C27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 w:cs="Times New Roman"/>
        <w:sz w:val="2"/>
        <w:szCs w:val="20"/>
        <w:lang w:eastAsia="ar-SA"/>
      </w:rPr>
    </w:pPr>
  </w:p>
  <w:p w14:paraId="321DACDB" w14:textId="77777777" w:rsidR="00E56C27" w:rsidRPr="00E56C27" w:rsidRDefault="00E56C27" w:rsidP="00E56C27">
    <w:pPr>
      <w:tabs>
        <w:tab w:val="center" w:pos="4419"/>
        <w:tab w:val="right" w:pos="8838"/>
      </w:tabs>
      <w:suppressAutoHyphens/>
      <w:spacing w:line="240" w:lineRule="auto"/>
      <w:rPr>
        <w:rFonts w:ascii="Times New Roman" w:eastAsia="Times New Roman" w:hAnsi="Times New Roman" w:cs="Times New Roman"/>
        <w:sz w:val="2"/>
        <w:szCs w:val="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1556A4"/>
    <w:multiLevelType w:val="multilevel"/>
    <w:tmpl w:val="1D0EE8C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8882914">
    <w:abstractNumId w:val="0"/>
  </w:num>
  <w:num w:numId="2" w16cid:durableId="5284914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8817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7D9"/>
    <w:rsid w:val="001A5EF4"/>
    <w:rsid w:val="00411385"/>
    <w:rsid w:val="005C27D9"/>
    <w:rsid w:val="00BD7A52"/>
    <w:rsid w:val="00E5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2470"/>
  <w15:docId w15:val="{103123FC-B634-424C-9D3F-FD724768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rPr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semiHidden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semiHidden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uiPriority w:val="9"/>
    <w:semiHidden/>
    <w:unhideWhenUsed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uiPriority w:val="9"/>
    <w:semiHidden/>
    <w:unhideWhenUsed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uiPriority w:val="9"/>
    <w:semiHidden/>
    <w:unhideWhenUsed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tabs>
        <w:tab w:val="num" w:pos="720"/>
      </w:tabs>
      <w:ind w:left="720" w:hanging="720"/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0"/>
      </w:num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NGNQNw5CSCrxxN168vw2l9Qv9Q==">CgMxLjAyD2lkLjhsMWpqeHd6dmxzdDgAciExZEpyX01tczdHclUwczZMQmpZZFVSSm9oakI3emdPaHY=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Eduardo R</cp:lastModifiedBy>
  <cp:revision>3</cp:revision>
  <dcterms:created xsi:type="dcterms:W3CDTF">2025-02-17T16:38:00Z</dcterms:created>
  <dcterms:modified xsi:type="dcterms:W3CDTF">2025-05-08T15:10:00Z</dcterms:modified>
</cp:coreProperties>
</file>