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F6" w:rsidRDefault="00832EED">
      <w:pPr>
        <w:spacing w:line="276" w:lineRule="auto"/>
        <w:jc w:val="center"/>
      </w:pPr>
      <w:bookmarkStart w:id="0" w:name="_GoBack"/>
      <w:bookmarkEnd w:id="0"/>
      <w:r>
        <w:rPr>
          <w:rFonts w:ascii="Verdana" w:eastAsia="Verdana" w:hAnsi="Verdana" w:cs="Verdana"/>
          <w:b/>
        </w:rPr>
        <w:t>ANEXO I - TERMO DE REFERÊNCIA</w:t>
      </w:r>
    </w:p>
    <w:p w:rsidR="00C800F6" w:rsidRDefault="00C800F6">
      <w:pPr>
        <w:spacing w:line="276" w:lineRule="auto"/>
        <w:jc w:val="both"/>
        <w:rPr>
          <w:rFonts w:ascii="Verdana" w:eastAsia="Verdana" w:hAnsi="Verdana" w:cs="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DO OBJETO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Aquisição de bens e materiais permanentes – itens de cerimonial, para a Defensoria Pública do Paraná.</w:t>
      </w: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 xml:space="preserve">DO DETALHAMENTO </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Aquisição de púlpito em acrílico personalizado, prisma de mesa e backdrop (painéis de fundo para entrevistas e fotos).</w:t>
      </w:r>
    </w:p>
    <w:p w:rsidR="00832EED" w:rsidRPr="005B2390" w:rsidRDefault="00832EED" w:rsidP="00832EED">
      <w:pPr>
        <w:spacing w:line="276" w:lineRule="auto"/>
        <w:rPr>
          <w:rFonts w:ascii="Verdana" w:hAnsi="Verdana"/>
        </w:rPr>
      </w:pPr>
      <w:r w:rsidRPr="005B2390">
        <w:rPr>
          <w:rFonts w:ascii="Verdana" w:hAnsi="Verdana"/>
        </w:rPr>
        <w:t xml:space="preserve"> </w:t>
      </w: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 xml:space="preserve">DAS ESPECIFICAÇÕES </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E20AB3">
        <w:rPr>
          <w:rFonts w:ascii="Verdana" w:hAnsi="Verdana"/>
          <w:bCs w:val="0"/>
          <w:sz w:val="20"/>
          <w:szCs w:val="20"/>
        </w:rPr>
        <w:t xml:space="preserve">PÚLPITO: </w:t>
      </w:r>
      <w:r w:rsidRPr="005B2390">
        <w:rPr>
          <w:rFonts w:ascii="Verdana" w:hAnsi="Verdana"/>
          <w:b w:val="0"/>
          <w:bCs w:val="0"/>
          <w:sz w:val="20"/>
          <w:szCs w:val="20"/>
        </w:rPr>
        <w:t>Em acrílico transparente, virgem, puro; Dimensões aproximadas: 70 x 40 x 120 cm (altura); Espessura: 08 a 10mm; Admitindo-se variação de até 10% em ambas as medidas. Com suporte para microfone e água; personalizado com a gravação da logo da Defensoria Pública do Estado do Paraná, a arte para confecção será disponibilizada no momento da produção e terá no máximo 30x60cm (A x L); UNID. DE MEDIDA: Unitário.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E20AB3">
        <w:rPr>
          <w:rFonts w:ascii="Verdana" w:hAnsi="Verdana"/>
          <w:bCs w:val="0"/>
          <w:sz w:val="20"/>
          <w:szCs w:val="20"/>
        </w:rPr>
        <w:t>BACKDROP:</w:t>
      </w:r>
      <w:r w:rsidRPr="005B2390">
        <w:rPr>
          <w:rFonts w:ascii="Verdana" w:hAnsi="Verdana"/>
          <w:b w:val="0"/>
          <w:bCs w:val="0"/>
          <w:sz w:val="20"/>
          <w:szCs w:val="20"/>
        </w:rPr>
        <w:t xml:space="preserve"> Painel formado por armação modular; Pré-montada em metal, com encaixes; Dimensões aproximadas 2,00 x 2,00m, admitindo-se variação de até 10% em ambas as medidas; Com pés ou rodízios; Recoberto por painel em lona de vinil com impressão digital de mini logomarca a arte para confecção será disponibilizada pela Defensoria Pública do Estado do Paraná (</w:t>
      </w:r>
      <w:r w:rsidRPr="005B2390">
        <w:rPr>
          <w:rFonts w:ascii="Verdana" w:hAnsi="Verdana"/>
          <w:b w:val="0"/>
          <w:bCs w:val="0"/>
          <w:sz w:val="20"/>
          <w:szCs w:val="20"/>
          <w:lang w:eastAsia="ar-SA"/>
        </w:rPr>
        <w:t>DPPR</w:t>
      </w:r>
      <w:r w:rsidRPr="005B2390">
        <w:rPr>
          <w:rFonts w:ascii="Verdana" w:hAnsi="Verdana"/>
          <w:b w:val="0"/>
          <w:bCs w:val="0"/>
          <w:sz w:val="20"/>
          <w:szCs w:val="20"/>
        </w:rPr>
        <w:t>) no momento da produção; UNID. DE MEDIDA: Unitário.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E20AB3">
        <w:rPr>
          <w:rFonts w:ascii="Verdana" w:hAnsi="Verdana"/>
          <w:bCs w:val="0"/>
          <w:sz w:val="20"/>
          <w:szCs w:val="20"/>
        </w:rPr>
        <w:t>BACKDROP:</w:t>
      </w:r>
      <w:r w:rsidRPr="005B2390">
        <w:rPr>
          <w:rFonts w:ascii="Verdana" w:hAnsi="Verdana"/>
          <w:b w:val="0"/>
          <w:bCs w:val="0"/>
          <w:sz w:val="20"/>
          <w:szCs w:val="20"/>
        </w:rPr>
        <w:t xml:space="preserve"> Painel formado por armação modular; Pré-montada em metal, com encaixes; Dimensões aproximadas 2,00 x 2,00m; admitindo-se variação de até 10% nas medidas. Com pés ou rodízios; recoberto por painel em lona de vinil com impressão digital de mini logomarca da Defensoria Pública do Estado do Paraná (</w:t>
      </w:r>
      <w:r w:rsidRPr="005B2390">
        <w:rPr>
          <w:rFonts w:ascii="Verdana" w:hAnsi="Verdana"/>
          <w:b w:val="0"/>
          <w:bCs w:val="0"/>
          <w:sz w:val="20"/>
          <w:szCs w:val="20"/>
          <w:lang w:eastAsia="ar-SA"/>
        </w:rPr>
        <w:t>DPPR</w:t>
      </w:r>
      <w:r w:rsidRPr="005B2390">
        <w:rPr>
          <w:rFonts w:ascii="Verdana" w:hAnsi="Verdana"/>
          <w:b w:val="0"/>
          <w:bCs w:val="0"/>
          <w:sz w:val="20"/>
          <w:szCs w:val="20"/>
        </w:rPr>
        <w:t>), intercalada com a logomarca da Escola da Defensoria Pública do Estado do Paraná (EDEPAR), a arte para confecção será disponibilizada no momento da produção; UNID. DE MEDIDA: Unitário.</w:t>
      </w:r>
    </w:p>
    <w:p w:rsidR="00832EED" w:rsidRPr="005B2390" w:rsidRDefault="00832EED" w:rsidP="00832EED">
      <w:pPr>
        <w:pStyle w:val="Ttulo2"/>
        <w:numPr>
          <w:ilvl w:val="1"/>
          <w:numId w:val="1"/>
        </w:numPr>
        <w:spacing w:before="240" w:beforeAutospacing="0" w:after="200" w:afterAutospacing="0" w:line="276" w:lineRule="auto"/>
        <w:ind w:left="0" w:hanging="11"/>
        <w:contextualSpacing/>
        <w:jc w:val="both"/>
        <w:rPr>
          <w:rFonts w:ascii="Verdana" w:hAnsi="Verdana"/>
          <w:b w:val="0"/>
          <w:bCs w:val="0"/>
          <w:sz w:val="20"/>
          <w:szCs w:val="20"/>
        </w:rPr>
      </w:pPr>
      <w:r w:rsidRPr="00E20AB3">
        <w:rPr>
          <w:rFonts w:ascii="Verdana" w:hAnsi="Verdana"/>
          <w:bCs w:val="0"/>
          <w:sz w:val="20"/>
          <w:szCs w:val="20"/>
        </w:rPr>
        <w:t>PRISMA DE MESA:</w:t>
      </w:r>
      <w:r w:rsidRPr="005B2390">
        <w:rPr>
          <w:rFonts w:ascii="Verdana" w:hAnsi="Verdana"/>
          <w:b w:val="0"/>
          <w:bCs w:val="0"/>
          <w:sz w:val="20"/>
          <w:szCs w:val="20"/>
        </w:rPr>
        <w:t xml:space="preserve"> Prisma de mesa em acrílico transparente de no mínimo 2mm de espessura, 30cm de largura e 10cm de altura. Admitindo-se variação de até 10% em ambas as medidas. Dobras para inserir papel de ambos os lados. (</w:t>
      </w:r>
      <w:r>
        <w:rPr>
          <w:rFonts w:ascii="Verdana" w:hAnsi="Verdana"/>
          <w:b w:val="0"/>
          <w:bCs w:val="0"/>
          <w:sz w:val="20"/>
          <w:szCs w:val="20"/>
        </w:rPr>
        <w:t>Apêndice</w:t>
      </w:r>
      <w:r w:rsidRPr="005B2390">
        <w:rPr>
          <w:rFonts w:ascii="Verdana" w:hAnsi="Verdana"/>
          <w:b w:val="0"/>
          <w:bCs w:val="0"/>
          <w:sz w:val="20"/>
          <w:szCs w:val="20"/>
        </w:rPr>
        <w:t xml:space="preserve"> I – Imagem de referência). UNID. DE MEDIDA: Unitário.</w:t>
      </w:r>
    </w:p>
    <w:p w:rsidR="00832EED" w:rsidRPr="005B2390" w:rsidRDefault="00832EED" w:rsidP="00832EED">
      <w:pPr>
        <w:spacing w:line="276" w:lineRule="auto"/>
        <w:rPr>
          <w:rFonts w:ascii="Verdana" w:hAnsi="Verdana"/>
        </w:rPr>
      </w:pPr>
    </w:p>
    <w:p w:rsidR="00E20AB3" w:rsidRDefault="00E20AB3">
      <w:pPr>
        <w:suppressAutoHyphens w:val="0"/>
        <w:rPr>
          <w:rFonts w:ascii="Verdana" w:hAnsi="Verdana"/>
          <w:b/>
          <w:bCs/>
          <w:kern w:val="36"/>
          <w:lang w:eastAsia="pt-BR"/>
        </w:rPr>
      </w:pPr>
      <w:r>
        <w:rPr>
          <w:rFonts w:ascii="Verdana" w:hAnsi="Verdana"/>
        </w:rPr>
        <w:br w:type="page"/>
      </w:r>
    </w:p>
    <w:p w:rsidR="00832EED" w:rsidRPr="001B2C16"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1B2C16">
        <w:rPr>
          <w:rFonts w:ascii="Verdana" w:hAnsi="Verdana"/>
          <w:sz w:val="20"/>
          <w:szCs w:val="20"/>
        </w:rPr>
        <w:t>DO QUANTITATIVO E DOS VALORES MÁXIMOS</w:t>
      </w:r>
    </w:p>
    <w:tbl>
      <w:tblPr>
        <w:tblStyle w:val="Tabelacomgrade"/>
        <w:tblW w:w="9231" w:type="dxa"/>
        <w:tblLook w:val="04A0" w:firstRow="1" w:lastRow="0" w:firstColumn="1" w:lastColumn="0" w:noHBand="0" w:noVBand="1"/>
      </w:tblPr>
      <w:tblGrid>
        <w:gridCol w:w="787"/>
        <w:gridCol w:w="761"/>
        <w:gridCol w:w="2923"/>
        <w:gridCol w:w="1620"/>
        <w:gridCol w:w="1417"/>
        <w:gridCol w:w="1723"/>
      </w:tblGrid>
      <w:tr w:rsidR="00832EED" w:rsidRPr="005B2390" w:rsidTr="00C75172">
        <w:trPr>
          <w:trHeight w:val="743"/>
        </w:trPr>
        <w:tc>
          <w:tcPr>
            <w:tcW w:w="787" w:type="dxa"/>
            <w:tcBorders>
              <w:top w:val="single" w:sz="4" w:space="0" w:color="auto"/>
            </w:tcBorders>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Lote</w:t>
            </w:r>
          </w:p>
        </w:tc>
        <w:tc>
          <w:tcPr>
            <w:tcW w:w="761" w:type="dxa"/>
            <w:tcBorders>
              <w:top w:val="single" w:sz="4" w:space="0" w:color="auto"/>
            </w:tcBorders>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Item</w:t>
            </w:r>
          </w:p>
        </w:tc>
        <w:tc>
          <w:tcPr>
            <w:tcW w:w="2923" w:type="dxa"/>
            <w:tcBorders>
              <w:top w:val="single" w:sz="4" w:space="0" w:color="auto"/>
            </w:tcBorders>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Especificação Técnica</w:t>
            </w:r>
          </w:p>
        </w:tc>
        <w:tc>
          <w:tcPr>
            <w:tcW w:w="1620" w:type="dxa"/>
            <w:tcBorders>
              <w:top w:val="single" w:sz="4" w:space="0" w:color="auto"/>
            </w:tcBorders>
            <w:shd w:val="clear" w:color="auto" w:fill="D6E3BC" w:themeFill="accent3" w:themeFillTint="66"/>
            <w:vAlign w:val="center"/>
          </w:tcPr>
          <w:p w:rsidR="00832EED" w:rsidRPr="00212CB3" w:rsidRDefault="00832EED" w:rsidP="00F46E37">
            <w:pPr>
              <w:pStyle w:val="PargrafodaLista"/>
              <w:widowControl w:val="0"/>
              <w:ind w:left="0"/>
              <w:jc w:val="center"/>
              <w:rPr>
                <w:rFonts w:ascii="Verdana" w:hAnsi="Verdana"/>
              </w:rPr>
            </w:pPr>
            <w:r w:rsidRPr="00212CB3">
              <w:rPr>
                <w:rFonts w:ascii="Verdana" w:hAnsi="Verdana"/>
                <w:b/>
                <w:bCs/>
              </w:rPr>
              <w:t>Quant</w:t>
            </w:r>
            <w:r w:rsidR="00F46E37">
              <w:rPr>
                <w:rFonts w:ascii="Verdana" w:hAnsi="Verdana"/>
                <w:b/>
                <w:bCs/>
              </w:rPr>
              <w:t>.</w:t>
            </w:r>
          </w:p>
        </w:tc>
        <w:tc>
          <w:tcPr>
            <w:tcW w:w="1417" w:type="dxa"/>
            <w:tcBorders>
              <w:top w:val="single" w:sz="4" w:space="0" w:color="auto"/>
            </w:tcBorders>
            <w:shd w:val="clear" w:color="auto" w:fill="D6E3BC" w:themeFill="accent3" w:themeFillTint="66"/>
            <w:vAlign w:val="center"/>
          </w:tcPr>
          <w:p w:rsidR="00832EED" w:rsidRPr="00212CB3" w:rsidRDefault="00832EED" w:rsidP="00832EED">
            <w:pPr>
              <w:widowControl w:val="0"/>
              <w:jc w:val="center"/>
              <w:rPr>
                <w:rFonts w:ascii="Verdana" w:hAnsi="Verdana"/>
              </w:rPr>
            </w:pPr>
            <w:r w:rsidRPr="00212CB3">
              <w:rPr>
                <w:rFonts w:ascii="Verdana" w:hAnsi="Verdana"/>
                <w:b/>
                <w:bCs/>
              </w:rPr>
              <w:t>Valor Unitário Máximo</w:t>
            </w:r>
          </w:p>
        </w:tc>
        <w:tc>
          <w:tcPr>
            <w:tcW w:w="1723" w:type="dxa"/>
            <w:tcBorders>
              <w:top w:val="single" w:sz="4" w:space="0" w:color="auto"/>
            </w:tcBorders>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b/>
                <w:bCs/>
              </w:rPr>
            </w:pPr>
            <w:r w:rsidRPr="00212CB3">
              <w:rPr>
                <w:rFonts w:ascii="Verdana" w:hAnsi="Verdana"/>
                <w:b/>
                <w:bCs/>
              </w:rPr>
              <w:t>Valor</w:t>
            </w:r>
          </w:p>
          <w:p w:rsidR="00832EED" w:rsidRPr="00212CB3" w:rsidRDefault="00832EED" w:rsidP="00832EED">
            <w:pPr>
              <w:widowControl w:val="0"/>
              <w:jc w:val="center"/>
              <w:rPr>
                <w:rFonts w:ascii="Verdana" w:hAnsi="Verdana"/>
              </w:rPr>
            </w:pPr>
            <w:r w:rsidRPr="00212CB3">
              <w:rPr>
                <w:rFonts w:ascii="Verdana" w:hAnsi="Verdana"/>
                <w:b/>
                <w:bCs/>
              </w:rPr>
              <w:t>Total Máximo</w:t>
            </w:r>
          </w:p>
        </w:tc>
      </w:tr>
      <w:tr w:rsidR="00832EED" w:rsidRPr="005B2390" w:rsidTr="00F46E37">
        <w:trPr>
          <w:trHeight w:val="743"/>
        </w:trPr>
        <w:tc>
          <w:tcPr>
            <w:tcW w:w="787" w:type="dxa"/>
            <w:vMerge w:val="restart"/>
            <w:vAlign w:val="center"/>
          </w:tcPr>
          <w:p w:rsidR="00832EED" w:rsidRPr="00212CB3" w:rsidRDefault="00832EED" w:rsidP="00832EED">
            <w:pPr>
              <w:pStyle w:val="PargrafodaLista"/>
              <w:widowControl w:val="0"/>
              <w:ind w:left="0"/>
              <w:jc w:val="center"/>
              <w:rPr>
                <w:rFonts w:ascii="Verdana" w:hAnsi="Verdana"/>
                <w:b/>
                <w:bCs/>
              </w:rPr>
            </w:pPr>
            <w:r>
              <w:rPr>
                <w:rFonts w:ascii="Verdana" w:hAnsi="Verdana"/>
                <w:b/>
                <w:bCs/>
              </w:rPr>
              <w:t>2</w:t>
            </w:r>
          </w:p>
        </w:tc>
        <w:tc>
          <w:tcPr>
            <w:tcW w:w="761"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1</w:t>
            </w:r>
          </w:p>
        </w:tc>
        <w:tc>
          <w:tcPr>
            <w:tcW w:w="2923" w:type="dxa"/>
            <w:vAlign w:val="center"/>
          </w:tcPr>
          <w:p w:rsidR="00832EED" w:rsidRPr="00C75172" w:rsidRDefault="00832EED" w:rsidP="00B32FAB">
            <w:pPr>
              <w:pStyle w:val="PargrafodaLista"/>
              <w:widowControl w:val="0"/>
              <w:ind w:left="0"/>
              <w:jc w:val="center"/>
              <w:rPr>
                <w:rFonts w:ascii="Verdana" w:hAnsi="Verdana"/>
              </w:rPr>
            </w:pPr>
            <w:r w:rsidRPr="00C75172">
              <w:rPr>
                <w:rFonts w:ascii="Verdana" w:hAnsi="Verdana"/>
              </w:rPr>
              <w:t>PÚLPITO, conforme item 3.</w:t>
            </w:r>
            <w:r w:rsidR="00B32FAB" w:rsidRPr="00C75172">
              <w:rPr>
                <w:rFonts w:ascii="Verdana" w:hAnsi="Verdana"/>
              </w:rPr>
              <w:t>1</w:t>
            </w:r>
            <w:r w:rsidRPr="00C75172">
              <w:rPr>
                <w:rFonts w:ascii="Verdana" w:hAnsi="Verdana"/>
              </w:rPr>
              <w:t>.</w:t>
            </w:r>
          </w:p>
        </w:tc>
        <w:tc>
          <w:tcPr>
            <w:tcW w:w="1620"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02 unidades</w:t>
            </w:r>
          </w:p>
        </w:tc>
        <w:tc>
          <w:tcPr>
            <w:tcW w:w="1417" w:type="dxa"/>
            <w:vAlign w:val="center"/>
          </w:tcPr>
          <w:p w:rsidR="00832EED" w:rsidRPr="00C75172" w:rsidRDefault="00832EED" w:rsidP="00F46E37">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2.087,92</w:t>
            </w:r>
          </w:p>
        </w:tc>
        <w:tc>
          <w:tcPr>
            <w:tcW w:w="1723" w:type="dxa"/>
            <w:vAlign w:val="center"/>
          </w:tcPr>
          <w:p w:rsidR="00832EED" w:rsidRPr="00C75172" w:rsidRDefault="00832EED" w:rsidP="00F46E37">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4.175,84</w:t>
            </w:r>
          </w:p>
        </w:tc>
      </w:tr>
      <w:tr w:rsidR="00832EED" w:rsidRPr="005B2390" w:rsidTr="00F46E37">
        <w:trPr>
          <w:trHeight w:val="743"/>
        </w:trPr>
        <w:tc>
          <w:tcPr>
            <w:tcW w:w="787" w:type="dxa"/>
            <w:vMerge/>
            <w:vAlign w:val="center"/>
          </w:tcPr>
          <w:p w:rsidR="00832EED" w:rsidRPr="00212CB3" w:rsidRDefault="00832EED" w:rsidP="00832EED">
            <w:pPr>
              <w:pStyle w:val="PargrafodaLista"/>
              <w:widowControl w:val="0"/>
              <w:ind w:left="0"/>
              <w:jc w:val="center"/>
              <w:rPr>
                <w:rFonts w:ascii="Verdana" w:hAnsi="Verdana"/>
              </w:rPr>
            </w:pPr>
          </w:p>
        </w:tc>
        <w:tc>
          <w:tcPr>
            <w:tcW w:w="761"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2</w:t>
            </w:r>
          </w:p>
        </w:tc>
        <w:tc>
          <w:tcPr>
            <w:tcW w:w="2923" w:type="dxa"/>
          </w:tcPr>
          <w:p w:rsidR="00832EED" w:rsidRPr="00C75172" w:rsidRDefault="00832EED" w:rsidP="00B32FAB">
            <w:pPr>
              <w:pStyle w:val="PargrafodaLista"/>
              <w:widowControl w:val="0"/>
              <w:ind w:left="0"/>
              <w:rPr>
                <w:rFonts w:ascii="Verdana" w:hAnsi="Verdana"/>
              </w:rPr>
            </w:pPr>
            <w:r w:rsidRPr="00C75172">
              <w:rPr>
                <w:rFonts w:ascii="Verdana" w:hAnsi="Verdana"/>
              </w:rPr>
              <w:t>PRISMA DE MESA, conforme item 3.</w:t>
            </w:r>
            <w:r w:rsidR="00B32FAB" w:rsidRPr="00C75172">
              <w:rPr>
                <w:rFonts w:ascii="Verdana" w:hAnsi="Verdana"/>
              </w:rPr>
              <w:t>4</w:t>
            </w:r>
            <w:r w:rsidRPr="00C75172">
              <w:rPr>
                <w:rFonts w:ascii="Verdana" w:hAnsi="Verdana"/>
              </w:rPr>
              <w:t>.</w:t>
            </w:r>
          </w:p>
        </w:tc>
        <w:tc>
          <w:tcPr>
            <w:tcW w:w="1620"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50 unidades</w:t>
            </w:r>
          </w:p>
        </w:tc>
        <w:tc>
          <w:tcPr>
            <w:tcW w:w="1417" w:type="dxa"/>
            <w:vAlign w:val="center"/>
          </w:tcPr>
          <w:p w:rsidR="00832EED" w:rsidRPr="00C75172" w:rsidRDefault="00832EED" w:rsidP="00F46E37">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25,46</w:t>
            </w:r>
          </w:p>
        </w:tc>
        <w:tc>
          <w:tcPr>
            <w:tcW w:w="1723" w:type="dxa"/>
            <w:vAlign w:val="center"/>
          </w:tcPr>
          <w:p w:rsidR="00832EED" w:rsidRPr="00C75172" w:rsidRDefault="00832EED" w:rsidP="00832EED">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1.273,00</w:t>
            </w:r>
          </w:p>
        </w:tc>
      </w:tr>
      <w:tr w:rsidR="00832EED" w:rsidRPr="005B2390" w:rsidTr="00FB4F8D">
        <w:trPr>
          <w:trHeight w:val="431"/>
        </w:trPr>
        <w:tc>
          <w:tcPr>
            <w:tcW w:w="7508" w:type="dxa"/>
            <w:gridSpan w:val="5"/>
            <w:tcBorders>
              <w:bottom w:val="single" w:sz="4" w:space="0" w:color="auto"/>
            </w:tcBorders>
            <w:shd w:val="clear" w:color="auto" w:fill="auto"/>
            <w:vAlign w:val="center"/>
          </w:tcPr>
          <w:p w:rsidR="00832EED" w:rsidRPr="00212CB3" w:rsidRDefault="00832EED" w:rsidP="00F46E37">
            <w:pPr>
              <w:widowControl w:val="0"/>
              <w:jc w:val="center"/>
              <w:rPr>
                <w:rFonts w:ascii="Verdana" w:hAnsi="Verdana"/>
              </w:rPr>
            </w:pPr>
            <w:r w:rsidRPr="00212CB3">
              <w:rPr>
                <w:rFonts w:ascii="Verdana" w:hAnsi="Verdana"/>
                <w:b/>
                <w:bCs/>
              </w:rPr>
              <w:t>VALOR TOTAL MÁXIMO DO LOTE 0</w:t>
            </w:r>
            <w:r w:rsidR="00F46E37">
              <w:rPr>
                <w:rFonts w:ascii="Verdana" w:hAnsi="Verdana"/>
                <w:b/>
                <w:bCs/>
              </w:rPr>
              <w:t>2</w:t>
            </w:r>
          </w:p>
        </w:tc>
        <w:tc>
          <w:tcPr>
            <w:tcW w:w="1723" w:type="dxa"/>
            <w:tcBorders>
              <w:bottom w:val="single" w:sz="4" w:space="0" w:color="auto"/>
            </w:tcBorders>
            <w:shd w:val="clear" w:color="auto" w:fill="auto"/>
            <w:vAlign w:val="center"/>
          </w:tcPr>
          <w:p w:rsidR="00832EED" w:rsidRPr="00212CB3" w:rsidRDefault="00832EED" w:rsidP="00F46E37">
            <w:pPr>
              <w:suppressAutoHyphens w:val="0"/>
              <w:jc w:val="center"/>
              <w:rPr>
                <w:rFonts w:ascii="Verdana" w:hAnsi="Verdana"/>
              </w:rPr>
            </w:pPr>
            <w:r w:rsidRPr="00212CB3">
              <w:rPr>
                <w:rFonts w:ascii="Verdana" w:hAnsi="Verdana"/>
                <w:b/>
                <w:bCs/>
                <w:color w:val="000000"/>
              </w:rPr>
              <w:t>R$ 5.</w:t>
            </w:r>
            <w:r w:rsidR="00F46E37">
              <w:rPr>
                <w:rFonts w:ascii="Verdana" w:hAnsi="Verdana"/>
                <w:b/>
                <w:bCs/>
                <w:color w:val="000000"/>
              </w:rPr>
              <w:t>448</w:t>
            </w:r>
            <w:r w:rsidRPr="00212CB3">
              <w:rPr>
                <w:rFonts w:ascii="Verdana" w:hAnsi="Verdana"/>
                <w:b/>
                <w:bCs/>
                <w:color w:val="000000"/>
              </w:rPr>
              <w:t>,</w:t>
            </w:r>
            <w:r w:rsidR="00F46E37">
              <w:rPr>
                <w:rFonts w:ascii="Verdana" w:hAnsi="Verdana"/>
                <w:b/>
                <w:bCs/>
                <w:color w:val="000000"/>
              </w:rPr>
              <w:t>84</w:t>
            </w:r>
            <w:r w:rsidRPr="00212CB3">
              <w:rPr>
                <w:rFonts w:ascii="Verdana" w:hAnsi="Verdana"/>
                <w:b/>
                <w:bCs/>
                <w:color w:val="000000"/>
              </w:rPr>
              <w:t xml:space="preserve"> </w:t>
            </w:r>
          </w:p>
        </w:tc>
      </w:tr>
      <w:tr w:rsidR="00832EED" w:rsidRPr="005B2390" w:rsidTr="00F46E37">
        <w:trPr>
          <w:trHeight w:val="743"/>
        </w:trPr>
        <w:tc>
          <w:tcPr>
            <w:tcW w:w="787" w:type="dxa"/>
            <w:tcBorders>
              <w:left w:val="nil"/>
              <w:right w:val="nil"/>
            </w:tcBorders>
            <w:vAlign w:val="center"/>
          </w:tcPr>
          <w:p w:rsidR="00832EED" w:rsidRPr="00212CB3" w:rsidRDefault="00832EED" w:rsidP="00832EED">
            <w:pPr>
              <w:pStyle w:val="PargrafodaLista"/>
              <w:widowControl w:val="0"/>
              <w:ind w:left="0"/>
              <w:jc w:val="center"/>
              <w:rPr>
                <w:rFonts w:ascii="Verdana" w:hAnsi="Verdana"/>
                <w:b/>
                <w:bCs/>
              </w:rPr>
            </w:pPr>
          </w:p>
        </w:tc>
        <w:tc>
          <w:tcPr>
            <w:tcW w:w="761" w:type="dxa"/>
            <w:tcBorders>
              <w:left w:val="nil"/>
              <w:right w:val="nil"/>
            </w:tcBorders>
            <w:vAlign w:val="center"/>
          </w:tcPr>
          <w:p w:rsidR="00832EED" w:rsidRPr="00212CB3" w:rsidRDefault="00832EED" w:rsidP="00832EED">
            <w:pPr>
              <w:pStyle w:val="PargrafodaLista"/>
              <w:widowControl w:val="0"/>
              <w:ind w:left="0"/>
              <w:jc w:val="center"/>
              <w:rPr>
                <w:rFonts w:ascii="Verdana" w:hAnsi="Verdana"/>
                <w:b/>
                <w:bCs/>
              </w:rPr>
            </w:pPr>
          </w:p>
        </w:tc>
        <w:tc>
          <w:tcPr>
            <w:tcW w:w="2923" w:type="dxa"/>
            <w:tcBorders>
              <w:left w:val="nil"/>
              <w:right w:val="nil"/>
            </w:tcBorders>
            <w:vAlign w:val="center"/>
          </w:tcPr>
          <w:p w:rsidR="00832EED" w:rsidRPr="00212CB3" w:rsidRDefault="00832EED" w:rsidP="00832EED">
            <w:pPr>
              <w:pStyle w:val="PargrafodaLista"/>
              <w:widowControl w:val="0"/>
              <w:ind w:left="0"/>
              <w:rPr>
                <w:rFonts w:ascii="Verdana" w:hAnsi="Verdana"/>
                <w:b/>
                <w:bCs/>
              </w:rPr>
            </w:pPr>
          </w:p>
        </w:tc>
        <w:tc>
          <w:tcPr>
            <w:tcW w:w="1620" w:type="dxa"/>
            <w:tcBorders>
              <w:left w:val="nil"/>
              <w:right w:val="nil"/>
            </w:tcBorders>
            <w:vAlign w:val="center"/>
          </w:tcPr>
          <w:p w:rsidR="00832EED" w:rsidRPr="00212CB3" w:rsidRDefault="00832EED" w:rsidP="00832EED">
            <w:pPr>
              <w:pStyle w:val="PargrafodaLista"/>
              <w:widowControl w:val="0"/>
              <w:ind w:left="0"/>
              <w:jc w:val="center"/>
              <w:rPr>
                <w:rFonts w:ascii="Verdana" w:hAnsi="Verdana"/>
                <w:b/>
                <w:bCs/>
              </w:rPr>
            </w:pPr>
          </w:p>
        </w:tc>
        <w:tc>
          <w:tcPr>
            <w:tcW w:w="1417" w:type="dxa"/>
            <w:tcBorders>
              <w:left w:val="nil"/>
              <w:right w:val="nil"/>
            </w:tcBorders>
            <w:vAlign w:val="center"/>
          </w:tcPr>
          <w:p w:rsidR="00832EED" w:rsidRPr="00212CB3" w:rsidRDefault="00832EED" w:rsidP="00832EED">
            <w:pPr>
              <w:widowControl w:val="0"/>
              <w:jc w:val="center"/>
              <w:rPr>
                <w:rFonts w:ascii="Verdana" w:hAnsi="Verdana"/>
                <w:b/>
                <w:bCs/>
              </w:rPr>
            </w:pPr>
          </w:p>
        </w:tc>
        <w:tc>
          <w:tcPr>
            <w:tcW w:w="1723" w:type="dxa"/>
            <w:tcBorders>
              <w:left w:val="nil"/>
              <w:right w:val="nil"/>
            </w:tcBorders>
            <w:vAlign w:val="center"/>
          </w:tcPr>
          <w:p w:rsidR="00832EED" w:rsidRPr="00212CB3" w:rsidRDefault="00832EED" w:rsidP="00832EED">
            <w:pPr>
              <w:pStyle w:val="PargrafodaLista"/>
              <w:widowControl w:val="0"/>
              <w:ind w:left="0"/>
              <w:jc w:val="center"/>
              <w:rPr>
                <w:rFonts w:ascii="Verdana" w:hAnsi="Verdana"/>
                <w:b/>
                <w:bCs/>
              </w:rPr>
            </w:pPr>
          </w:p>
        </w:tc>
      </w:tr>
      <w:tr w:rsidR="00832EED" w:rsidRPr="005B2390" w:rsidTr="00C75172">
        <w:trPr>
          <w:trHeight w:val="743"/>
        </w:trPr>
        <w:tc>
          <w:tcPr>
            <w:tcW w:w="787" w:type="dxa"/>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Lote</w:t>
            </w:r>
          </w:p>
        </w:tc>
        <w:tc>
          <w:tcPr>
            <w:tcW w:w="761" w:type="dxa"/>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Item</w:t>
            </w:r>
          </w:p>
        </w:tc>
        <w:tc>
          <w:tcPr>
            <w:tcW w:w="2923" w:type="dxa"/>
            <w:shd w:val="clear" w:color="auto" w:fill="D6E3BC" w:themeFill="accent3" w:themeFillTint="66"/>
            <w:vAlign w:val="center"/>
          </w:tcPr>
          <w:p w:rsidR="00832EED" w:rsidRPr="00212CB3" w:rsidRDefault="00832EED" w:rsidP="00832EED">
            <w:pPr>
              <w:pStyle w:val="PargrafodaLista"/>
              <w:widowControl w:val="0"/>
              <w:ind w:left="0"/>
              <w:rPr>
                <w:rFonts w:ascii="Verdana" w:hAnsi="Verdana"/>
              </w:rPr>
            </w:pPr>
            <w:r w:rsidRPr="00212CB3">
              <w:rPr>
                <w:rFonts w:ascii="Verdana" w:hAnsi="Verdana"/>
                <w:b/>
                <w:bCs/>
              </w:rPr>
              <w:t>Especificação Técnica</w:t>
            </w:r>
          </w:p>
        </w:tc>
        <w:tc>
          <w:tcPr>
            <w:tcW w:w="1620" w:type="dxa"/>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rPr>
            </w:pPr>
            <w:r w:rsidRPr="00212CB3">
              <w:rPr>
                <w:rFonts w:ascii="Verdana" w:hAnsi="Verdana"/>
                <w:b/>
                <w:bCs/>
              </w:rPr>
              <w:t>Quantitativo</w:t>
            </w:r>
          </w:p>
        </w:tc>
        <w:tc>
          <w:tcPr>
            <w:tcW w:w="1417" w:type="dxa"/>
            <w:shd w:val="clear" w:color="auto" w:fill="D6E3BC" w:themeFill="accent3" w:themeFillTint="66"/>
            <w:vAlign w:val="center"/>
          </w:tcPr>
          <w:p w:rsidR="00832EED" w:rsidRPr="00212CB3" w:rsidRDefault="00832EED" w:rsidP="00832EED">
            <w:pPr>
              <w:widowControl w:val="0"/>
              <w:jc w:val="center"/>
              <w:rPr>
                <w:rFonts w:ascii="Verdana" w:hAnsi="Verdana"/>
              </w:rPr>
            </w:pPr>
            <w:r w:rsidRPr="00212CB3">
              <w:rPr>
                <w:rFonts w:ascii="Verdana" w:hAnsi="Verdana"/>
                <w:b/>
                <w:bCs/>
              </w:rPr>
              <w:t>Valor Unitário Máximo</w:t>
            </w:r>
          </w:p>
        </w:tc>
        <w:tc>
          <w:tcPr>
            <w:tcW w:w="1723" w:type="dxa"/>
            <w:shd w:val="clear" w:color="auto" w:fill="D6E3BC" w:themeFill="accent3" w:themeFillTint="66"/>
            <w:vAlign w:val="center"/>
          </w:tcPr>
          <w:p w:rsidR="00832EED" w:rsidRPr="00212CB3" w:rsidRDefault="00832EED" w:rsidP="00832EED">
            <w:pPr>
              <w:pStyle w:val="PargrafodaLista"/>
              <w:widowControl w:val="0"/>
              <w:ind w:left="0"/>
              <w:jc w:val="center"/>
              <w:rPr>
                <w:rFonts w:ascii="Verdana" w:hAnsi="Verdana"/>
                <w:b/>
                <w:bCs/>
              </w:rPr>
            </w:pPr>
            <w:r w:rsidRPr="00212CB3">
              <w:rPr>
                <w:rFonts w:ascii="Verdana" w:hAnsi="Verdana"/>
                <w:b/>
                <w:bCs/>
              </w:rPr>
              <w:t>Valor</w:t>
            </w:r>
          </w:p>
          <w:p w:rsidR="00832EED" w:rsidRPr="00212CB3" w:rsidRDefault="00832EED" w:rsidP="00832EED">
            <w:pPr>
              <w:widowControl w:val="0"/>
              <w:jc w:val="center"/>
              <w:rPr>
                <w:rFonts w:ascii="Verdana" w:hAnsi="Verdana"/>
              </w:rPr>
            </w:pPr>
            <w:r w:rsidRPr="00212CB3">
              <w:rPr>
                <w:rFonts w:ascii="Verdana" w:hAnsi="Verdana"/>
                <w:b/>
                <w:bCs/>
              </w:rPr>
              <w:t>Total Máximo</w:t>
            </w:r>
          </w:p>
        </w:tc>
      </w:tr>
      <w:tr w:rsidR="00832EED" w:rsidRPr="005B2390" w:rsidTr="00F46E37">
        <w:trPr>
          <w:trHeight w:val="743"/>
        </w:trPr>
        <w:tc>
          <w:tcPr>
            <w:tcW w:w="787" w:type="dxa"/>
            <w:vMerge w:val="restart"/>
            <w:vAlign w:val="center"/>
          </w:tcPr>
          <w:p w:rsidR="00832EED" w:rsidRPr="00212CB3" w:rsidRDefault="00832EED" w:rsidP="00832EED">
            <w:pPr>
              <w:pStyle w:val="PargrafodaLista"/>
              <w:widowControl w:val="0"/>
              <w:ind w:left="0"/>
              <w:jc w:val="center"/>
              <w:rPr>
                <w:rFonts w:ascii="Verdana" w:hAnsi="Verdana"/>
                <w:b/>
                <w:bCs/>
              </w:rPr>
            </w:pPr>
            <w:r>
              <w:rPr>
                <w:rFonts w:ascii="Verdana" w:hAnsi="Verdana"/>
                <w:b/>
                <w:bCs/>
              </w:rPr>
              <w:t>3</w:t>
            </w:r>
          </w:p>
        </w:tc>
        <w:tc>
          <w:tcPr>
            <w:tcW w:w="761"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1</w:t>
            </w:r>
          </w:p>
        </w:tc>
        <w:tc>
          <w:tcPr>
            <w:tcW w:w="2923" w:type="dxa"/>
          </w:tcPr>
          <w:p w:rsidR="00832EED" w:rsidRPr="00C75172" w:rsidRDefault="00832EED" w:rsidP="00B32FAB">
            <w:pPr>
              <w:pStyle w:val="PargrafodaLista"/>
              <w:widowControl w:val="0"/>
              <w:ind w:left="0"/>
              <w:rPr>
                <w:rFonts w:ascii="Verdana" w:hAnsi="Verdana"/>
              </w:rPr>
            </w:pPr>
            <w:r w:rsidRPr="00C75172">
              <w:rPr>
                <w:rFonts w:ascii="Verdana" w:hAnsi="Verdana"/>
              </w:rPr>
              <w:t>BACKDROP, conforme item 3.</w:t>
            </w:r>
            <w:r w:rsidR="00B32FAB" w:rsidRPr="00C75172">
              <w:rPr>
                <w:rFonts w:ascii="Verdana" w:hAnsi="Verdana"/>
              </w:rPr>
              <w:t>2</w:t>
            </w:r>
            <w:r w:rsidRPr="00C75172">
              <w:rPr>
                <w:rFonts w:ascii="Verdana" w:hAnsi="Verdana"/>
              </w:rPr>
              <w:t>.</w:t>
            </w:r>
          </w:p>
        </w:tc>
        <w:tc>
          <w:tcPr>
            <w:tcW w:w="1620"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03 unidades</w:t>
            </w:r>
          </w:p>
        </w:tc>
        <w:tc>
          <w:tcPr>
            <w:tcW w:w="1417" w:type="dxa"/>
            <w:vAlign w:val="center"/>
          </w:tcPr>
          <w:p w:rsidR="00832EED" w:rsidRPr="00C75172" w:rsidRDefault="00832EED" w:rsidP="00832EED">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1.735,71</w:t>
            </w:r>
          </w:p>
        </w:tc>
        <w:tc>
          <w:tcPr>
            <w:tcW w:w="1723" w:type="dxa"/>
            <w:vAlign w:val="center"/>
          </w:tcPr>
          <w:p w:rsidR="00832EED" w:rsidRPr="00C75172" w:rsidRDefault="00832EED" w:rsidP="00832EED">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5.207,13</w:t>
            </w:r>
          </w:p>
        </w:tc>
      </w:tr>
      <w:tr w:rsidR="00832EED" w:rsidRPr="005B2390" w:rsidTr="00F46E37">
        <w:trPr>
          <w:trHeight w:val="743"/>
        </w:trPr>
        <w:tc>
          <w:tcPr>
            <w:tcW w:w="787" w:type="dxa"/>
            <w:vMerge/>
            <w:vAlign w:val="center"/>
          </w:tcPr>
          <w:p w:rsidR="00832EED" w:rsidRPr="00212CB3" w:rsidRDefault="00832EED" w:rsidP="00832EED">
            <w:pPr>
              <w:pStyle w:val="PargrafodaLista"/>
              <w:widowControl w:val="0"/>
              <w:ind w:left="0"/>
              <w:jc w:val="center"/>
              <w:rPr>
                <w:rFonts w:ascii="Verdana" w:hAnsi="Verdana"/>
              </w:rPr>
            </w:pPr>
          </w:p>
        </w:tc>
        <w:tc>
          <w:tcPr>
            <w:tcW w:w="761"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2</w:t>
            </w:r>
          </w:p>
        </w:tc>
        <w:tc>
          <w:tcPr>
            <w:tcW w:w="2923" w:type="dxa"/>
          </w:tcPr>
          <w:p w:rsidR="00832EED" w:rsidRPr="00C75172" w:rsidRDefault="00832EED" w:rsidP="00832EED">
            <w:pPr>
              <w:pStyle w:val="PargrafodaLista"/>
              <w:widowControl w:val="0"/>
              <w:ind w:left="0"/>
              <w:rPr>
                <w:rFonts w:ascii="Verdana" w:hAnsi="Verdana"/>
              </w:rPr>
            </w:pPr>
            <w:r w:rsidRPr="00C75172">
              <w:rPr>
                <w:rFonts w:ascii="Verdana" w:hAnsi="Verdana"/>
              </w:rPr>
              <w:t>BACKDROP, conforme item 3.</w:t>
            </w:r>
            <w:r w:rsidR="00B32FAB" w:rsidRPr="00C75172">
              <w:rPr>
                <w:rFonts w:ascii="Verdana" w:hAnsi="Verdana"/>
              </w:rPr>
              <w:t>3</w:t>
            </w:r>
            <w:r w:rsidRPr="00C75172">
              <w:rPr>
                <w:rFonts w:ascii="Verdana" w:hAnsi="Verdana"/>
              </w:rPr>
              <w:t>.</w:t>
            </w:r>
          </w:p>
          <w:p w:rsidR="00832EED" w:rsidRPr="00C75172" w:rsidRDefault="00832EED" w:rsidP="00832EED">
            <w:pPr>
              <w:pStyle w:val="PargrafodaLista"/>
              <w:widowControl w:val="0"/>
              <w:ind w:left="0"/>
              <w:rPr>
                <w:rFonts w:ascii="Verdana" w:hAnsi="Verdana"/>
              </w:rPr>
            </w:pPr>
          </w:p>
        </w:tc>
        <w:tc>
          <w:tcPr>
            <w:tcW w:w="1620" w:type="dxa"/>
            <w:vAlign w:val="center"/>
          </w:tcPr>
          <w:p w:rsidR="00832EED" w:rsidRPr="00C75172" w:rsidRDefault="00832EED" w:rsidP="00832EED">
            <w:pPr>
              <w:pStyle w:val="PargrafodaLista"/>
              <w:widowControl w:val="0"/>
              <w:ind w:left="0"/>
              <w:jc w:val="center"/>
              <w:rPr>
                <w:rFonts w:ascii="Verdana" w:hAnsi="Verdana"/>
              </w:rPr>
            </w:pPr>
            <w:r w:rsidRPr="00C75172">
              <w:rPr>
                <w:rFonts w:ascii="Verdana" w:hAnsi="Verdana"/>
              </w:rPr>
              <w:t>01 unidade</w:t>
            </w:r>
          </w:p>
        </w:tc>
        <w:tc>
          <w:tcPr>
            <w:tcW w:w="1417" w:type="dxa"/>
            <w:vAlign w:val="center"/>
          </w:tcPr>
          <w:p w:rsidR="00832EED" w:rsidRPr="00C75172" w:rsidRDefault="00832EED" w:rsidP="00832EED">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1.735,71</w:t>
            </w:r>
          </w:p>
        </w:tc>
        <w:tc>
          <w:tcPr>
            <w:tcW w:w="1723" w:type="dxa"/>
            <w:vAlign w:val="center"/>
          </w:tcPr>
          <w:p w:rsidR="00832EED" w:rsidRPr="00C75172" w:rsidRDefault="00832EED" w:rsidP="00832EED">
            <w:pPr>
              <w:widowControl w:val="0"/>
              <w:jc w:val="center"/>
              <w:rPr>
                <w:rFonts w:ascii="Verdana" w:hAnsi="Verdana"/>
              </w:rPr>
            </w:pPr>
            <w:r w:rsidRPr="00C75172">
              <w:rPr>
                <w:rFonts w:ascii="Verdana" w:hAnsi="Verdana"/>
                <w:color w:val="000000"/>
              </w:rPr>
              <w:t xml:space="preserve">R$ </w:t>
            </w:r>
            <w:r w:rsidR="00F46E37" w:rsidRPr="00C75172">
              <w:rPr>
                <w:rFonts w:ascii="Verdana" w:hAnsi="Verdana"/>
                <w:color w:val="000000"/>
              </w:rPr>
              <w:t>1.735,71</w:t>
            </w:r>
          </w:p>
        </w:tc>
      </w:tr>
      <w:tr w:rsidR="00832EED" w:rsidRPr="005B2390" w:rsidTr="00FB4F8D">
        <w:trPr>
          <w:trHeight w:val="486"/>
        </w:trPr>
        <w:tc>
          <w:tcPr>
            <w:tcW w:w="7508" w:type="dxa"/>
            <w:gridSpan w:val="5"/>
            <w:shd w:val="clear" w:color="auto" w:fill="auto"/>
            <w:vAlign w:val="center"/>
          </w:tcPr>
          <w:p w:rsidR="00832EED" w:rsidRPr="00212CB3" w:rsidRDefault="00832EED" w:rsidP="00F46E37">
            <w:pPr>
              <w:widowControl w:val="0"/>
              <w:jc w:val="center"/>
              <w:rPr>
                <w:rFonts w:ascii="Verdana" w:hAnsi="Verdana"/>
              </w:rPr>
            </w:pPr>
            <w:r w:rsidRPr="00212CB3">
              <w:rPr>
                <w:rFonts w:ascii="Verdana" w:hAnsi="Verdana"/>
                <w:b/>
                <w:bCs/>
              </w:rPr>
              <w:t>VALOR TOTAL MÁXIMO DO LOTE 0</w:t>
            </w:r>
            <w:r w:rsidR="00F46E37">
              <w:rPr>
                <w:rFonts w:ascii="Verdana" w:hAnsi="Verdana"/>
                <w:b/>
                <w:bCs/>
              </w:rPr>
              <w:t>3</w:t>
            </w:r>
          </w:p>
        </w:tc>
        <w:tc>
          <w:tcPr>
            <w:tcW w:w="1723" w:type="dxa"/>
            <w:shd w:val="clear" w:color="auto" w:fill="auto"/>
            <w:vAlign w:val="center"/>
          </w:tcPr>
          <w:p w:rsidR="00832EED" w:rsidRPr="00212CB3" w:rsidRDefault="00832EED" w:rsidP="00F46E37">
            <w:pPr>
              <w:suppressAutoHyphens w:val="0"/>
              <w:jc w:val="center"/>
              <w:rPr>
                <w:rFonts w:ascii="Verdana" w:hAnsi="Verdana"/>
              </w:rPr>
            </w:pPr>
            <w:r w:rsidRPr="00212CB3">
              <w:rPr>
                <w:rFonts w:ascii="Verdana" w:hAnsi="Verdana"/>
                <w:b/>
                <w:bCs/>
                <w:color w:val="000000"/>
              </w:rPr>
              <w:t xml:space="preserve">R$ </w:t>
            </w:r>
            <w:r w:rsidR="00F46E37">
              <w:rPr>
                <w:rFonts w:ascii="Verdana" w:hAnsi="Verdana"/>
                <w:b/>
                <w:bCs/>
                <w:color w:val="000000"/>
              </w:rPr>
              <w:t>6.942,84</w:t>
            </w:r>
          </w:p>
        </w:tc>
      </w:tr>
    </w:tbl>
    <w:p w:rsidR="00832EED" w:rsidRPr="005B2390" w:rsidRDefault="00832EED" w:rsidP="00832EED">
      <w:pPr>
        <w:pStyle w:val="Ttulo1"/>
        <w:rPr>
          <w:rFonts w:ascii="Verdana" w:hAnsi="Verdana"/>
          <w:b w:val="0"/>
          <w:bCs w:val="0"/>
          <w:sz w:val="20"/>
          <w:szCs w:val="20"/>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CONDIÇÕES GERAIS</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Os produtos devem ser novos, de primeiro uso, sem a presença de vícios e entregues em embalagens lacradas, em endereço a ser indicado na Ordem de Fornecimento, sem custo adicional para a DPE/PR. </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Não serão aceitos produtos em desacordo com as especificações técnicas contidas neste Termo de Referência, salvo se de melhor qualidade. </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 FORNECEDOR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832EED" w:rsidRPr="005B2390" w:rsidRDefault="00832EED" w:rsidP="00832EED">
      <w:pPr>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DA GARANTIA</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 xml:space="preserve">Os produtos deverão ser de primeira qualidade e ser garantidos contra defeitos de fabricação de acordo com as regras e os prazos estabelecidos no Código de Defesa do Consumidor e no Manual de Uso e Garantia do Produto do Fabricante. </w:t>
      </w:r>
    </w:p>
    <w:p w:rsidR="00832EED" w:rsidRPr="005B2390" w:rsidRDefault="00832EED" w:rsidP="00832EED">
      <w:pPr>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DA ENTREGA</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Após a emissão e recebimento da Ordem de Fornecimento, os produtos deverão ser entregues em até 10 (dez) dias (prorrogáveis, no máximo, por igual prazo, a critério exclusivo da Defensoria Pública do Estado do Paraná, desde que solicitado tempestivamente pela fornecedora e apresentada devida justificativa).</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 xml:space="preserve">A entrega deverá ser realizada no endereço do Almoxarifado Central da Defensoria Pública, localizada na Avenida São Gabriel, 433, Galpão 4, Condomínio Vitamar, Roça Grande, Colombo/PR; ou em outro endereço da Defensoria, localizado na região de Curitiba, especificado na Ordem de Fornecimento. </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 entrega deve ocorrer em dia útil (previamente acordado com o responsável pelo recebimento que constará da ordem de fornecimento), em horário entre as 10h00 e as 16h00, ou conforme especificado na ordem de fornecimento.</w:t>
      </w: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lang w:eastAsia="ar-SA"/>
        </w:rPr>
      </w:pPr>
      <w:r w:rsidRPr="005B2390">
        <w:rPr>
          <w:rFonts w:ascii="Verdana" w:hAnsi="Verdana"/>
          <w:sz w:val="20"/>
          <w:szCs w:val="20"/>
          <w:lang w:eastAsia="ar-SA"/>
        </w:rPr>
        <w:t>DO RECEBIMENTO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Em se tratando de compras ou locação de equipamentos, será recebido provisoriamente em até 10 (dez) dias, para efeito de posterior verificação da conformidade do material com a especificação.</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O recebimento provisório poderá ser dispensado nos casos previstos taxativamente no artigo 74, incisos I, II e III da Lei 8.666/1993, sendo neste caso realizado mediante recibo, conforme parágrafo único do citado dispositivo.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 xml:space="preserve"> 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Fiscais de Débitos das receitas nos âmbitos municipal, estadual e federal;</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Certidão de Débitos Trabalhistas, emitida pelo Tribunal Superior do Trabalho;</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Certificado de Regularidade do FGTS – CRF.</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 xml:space="preserve"> O recebimento definitivo será realizado de acordo com os seguintes prazos:</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Quando se tratar de compras ou locação de equipamentos, será recebido definitivamente em até 15 (quinze) dias, após a verificação da qualidade e quantidade do material.</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 CONTRATADA deverá corrigir, refazer ou substituir o objeto que apresentar quaisquer divergências com as especificações fornecidas, bem como realizar possíveis adequações necessárias, sem ônus para a CONTRATANTE.</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 recebimento definitivo do objeto fica condicionado à demonstração de cumprimento pela contratada de todas as suas obrigações assumidas, dentre as quais se incluem a apresentação dos documentos pertinentes, conforme descrito no item 8.2, e demais documentos complementares.</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Os recebimentos provisório ou definitivo do objeto não excluem a responsabilidade da contratada pelos prejuízos resultantes da incorreta execução/prestação do objeto.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Os recebimentos provisório e definitivo ficam condicionados à prestação da totalidade do objeto indicado na ordem de fornecimento/serviço, sendo vedados recebimentos fracionados decorrentes de um mesmo pedido.</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832EED" w:rsidRPr="005B2390" w:rsidRDefault="00832EED" w:rsidP="00832EED">
      <w:pPr>
        <w:spacing w:before="240" w:line="276" w:lineRule="auto"/>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lang w:eastAsia="ar-SA"/>
        </w:rPr>
      </w:pPr>
      <w:r w:rsidRPr="005B2390">
        <w:rPr>
          <w:rFonts w:ascii="Verdana" w:hAnsi="Verdana"/>
          <w:sz w:val="20"/>
          <w:szCs w:val="20"/>
          <w:lang w:eastAsia="ar-SA"/>
        </w:rPr>
        <w:t>PREÇO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não cabendo à DPPR quaisquer custos adicionais.</w:t>
      </w:r>
    </w:p>
    <w:p w:rsidR="00832EED" w:rsidRPr="005B2390" w:rsidRDefault="00832EED" w:rsidP="00832EED">
      <w:pPr>
        <w:spacing w:before="240" w:line="276" w:lineRule="auto"/>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lang w:eastAsia="ar-SA"/>
        </w:rPr>
      </w:pPr>
      <w:r w:rsidRPr="005B2390">
        <w:rPr>
          <w:rFonts w:ascii="Verdana" w:hAnsi="Verdana"/>
          <w:sz w:val="20"/>
          <w:szCs w:val="20"/>
          <w:lang w:eastAsia="ar-SA"/>
        </w:rPr>
        <w:t>CONDIÇÕES DE PAGAMENTO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Para a liberação do pagamento, o responsável pelo acompanhamento encaminhará o documento de cobrança e documentação complementar ao Departamento Financeiro que então providenciará a liquidação da obrigação.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A pendência de liquidação de obrigação financeira imposta em virtude de penalidade ou inadimplência poderá gerar a retenção e/ou o desconto dos pagamentos devidos a CONTRATADA, sem que isso gere direito a acréscimos de qualquer natureza.</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Eventuais retenções e/ou descontos dos pagamentos serão apreciados em procedimento específico para apuração do eventual inadimplemento.</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A DPPR fará as retenções de acordo com a legislação vigente e/ou exigirá a comprovação dos recolhimentos exigidos em lei.</w:t>
      </w:r>
    </w:p>
    <w:p w:rsidR="00832EED" w:rsidRPr="005B2390" w:rsidRDefault="00832EED" w:rsidP="00832EED">
      <w:pPr>
        <w:pStyle w:val="Ttulo2"/>
        <w:numPr>
          <w:ilvl w:val="2"/>
          <w:numId w:val="1"/>
        </w:numPr>
        <w:spacing w:before="240" w:beforeAutospacing="0" w:after="200" w:afterAutospacing="0" w:line="276" w:lineRule="auto"/>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Eventuais encargos decorrentes de atrasos nas retenções de responsabilidade da DPPR serão imputáveis exclusivamente à fornecedora quando esta deixar de apresentar os documentos necessários em tempo hábil.</w:t>
      </w:r>
    </w:p>
    <w:p w:rsidR="00832EED" w:rsidRPr="005B2390" w:rsidRDefault="00832EED" w:rsidP="00832EED">
      <w:pPr>
        <w:spacing w:line="276" w:lineRule="auto"/>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lang w:eastAsia="ar-SA"/>
        </w:rPr>
      </w:pPr>
      <w:r w:rsidRPr="005B2390">
        <w:rPr>
          <w:rFonts w:ascii="Verdana" w:hAnsi="Verdana"/>
          <w:sz w:val="20"/>
          <w:szCs w:val="20"/>
          <w:lang w:eastAsia="ar-SA"/>
        </w:rPr>
        <w:t>DAS SANÇÕES ADMINISTRATIVAS</w:t>
      </w:r>
    </w:p>
    <w:p w:rsidR="00832EED" w:rsidRPr="005B2390" w:rsidRDefault="00832EED" w:rsidP="00832EED">
      <w:pPr>
        <w:pStyle w:val="Ttulo2"/>
        <w:numPr>
          <w:ilvl w:val="1"/>
          <w:numId w:val="1"/>
        </w:numPr>
        <w:spacing w:before="240" w:beforeAutospacing="0" w:after="200" w:afterAutospacing="0" w:line="276" w:lineRule="auto"/>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 xml:space="preserve">O </w:t>
      </w:r>
      <w:r w:rsidRPr="005B2390">
        <w:rPr>
          <w:rFonts w:ascii="Verdana" w:hAnsi="Verdana"/>
          <w:b w:val="0"/>
          <w:bCs w:val="0"/>
          <w:sz w:val="20"/>
          <w:szCs w:val="20"/>
        </w:rPr>
        <w:t>descumprimento</w:t>
      </w:r>
      <w:r w:rsidRPr="005B2390">
        <w:rPr>
          <w:rFonts w:ascii="Verdana" w:hAnsi="Verdana"/>
          <w:b w:val="0"/>
          <w:bCs w:val="0"/>
          <w:sz w:val="20"/>
          <w:szCs w:val="20"/>
          <w:lang w:eastAsia="ar-SA"/>
        </w:rPr>
        <w:t xml:space="preserve"> das obrigações assumidas ensejará na aplicação, garantido o contraditório e a ampla defesa à licitante, das sanções previstas na Lei Estadual n° 15.608/2007 e regulamentadas, no âmbito desta Defensoria, por meio da Deliberação CSDP n° 11/2015, quais sejam: </w:t>
      </w:r>
    </w:p>
    <w:p w:rsidR="00832EED" w:rsidRPr="005B2390" w:rsidRDefault="00832EED" w:rsidP="00832EED">
      <w:pPr>
        <w:pStyle w:val="Ttulo2"/>
        <w:ind w:left="715"/>
        <w:rPr>
          <w:rFonts w:ascii="Verdana" w:hAnsi="Verdana"/>
          <w:b w:val="0"/>
          <w:bCs w:val="0"/>
          <w:sz w:val="20"/>
          <w:szCs w:val="20"/>
          <w:lang w:eastAsia="ar-SA"/>
        </w:rPr>
      </w:pPr>
      <w:r w:rsidRPr="005B2390">
        <w:rPr>
          <w:rFonts w:ascii="Verdana" w:hAnsi="Verdana"/>
          <w:b w:val="0"/>
          <w:bCs w:val="0"/>
          <w:sz w:val="20"/>
          <w:szCs w:val="20"/>
          <w:lang w:eastAsia="ar-SA"/>
        </w:rPr>
        <w:t xml:space="preserve">I -Advertência, em caso de conduta que prejudique o andamento do procedimento licitatório ou da contratação; </w:t>
      </w:r>
    </w:p>
    <w:p w:rsidR="00832EED" w:rsidRPr="005B2390" w:rsidRDefault="00832EED" w:rsidP="00832EED">
      <w:pPr>
        <w:pStyle w:val="PargrafodaLista"/>
        <w:spacing w:line="276" w:lineRule="auto"/>
        <w:ind w:left="709"/>
        <w:rPr>
          <w:rFonts w:ascii="Verdana" w:hAnsi="Verdana"/>
          <w:lang w:eastAsia="ar-SA"/>
        </w:rPr>
      </w:pPr>
      <w:r w:rsidRPr="005B2390">
        <w:rPr>
          <w:rFonts w:ascii="Verdana" w:hAnsi="Verdana"/>
          <w:lang w:eastAsia="ar-SA"/>
        </w:rPr>
        <w:t>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832EED" w:rsidRPr="005B2390" w:rsidRDefault="00832EED" w:rsidP="00832EED">
      <w:pPr>
        <w:pStyle w:val="PargrafodaLista"/>
        <w:spacing w:line="276" w:lineRule="auto"/>
        <w:ind w:left="709"/>
        <w:rPr>
          <w:rFonts w:ascii="Verdana" w:hAnsi="Verdana"/>
          <w:lang w:eastAsia="ar-SA"/>
        </w:rPr>
      </w:pPr>
    </w:p>
    <w:p w:rsidR="00832EED" w:rsidRPr="005B2390" w:rsidRDefault="00832EED" w:rsidP="00832EED">
      <w:pPr>
        <w:pStyle w:val="PargrafodaLista"/>
        <w:spacing w:line="276" w:lineRule="auto"/>
        <w:ind w:left="709"/>
        <w:rPr>
          <w:rFonts w:ascii="Verdana" w:hAnsi="Verdana"/>
          <w:lang w:eastAsia="ar-SA"/>
        </w:rPr>
      </w:pPr>
      <w:r w:rsidRPr="005B2390">
        <w:rPr>
          <w:rFonts w:ascii="Verdana" w:hAnsi="Verdana"/>
          <w:lang w:eastAsia="ar-SA"/>
        </w:rPr>
        <w:t>III -Multa de até 20% (vinte por cento) sobre o valor total do contrato, nas seguintes hipóteses, dentre outras:</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a) não manutenção da proposta;</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b) apresentação de declaração falsa;</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c) não apresentação de documento na fase de saneamento;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d) inexecução contratual;</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e) recusa injustificada, após ser considerado adjudicatário, a assinar o contrato, aceitar ou retirar o instrumento equivalente, dentro do prazo estabelecido pela Administração;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f) abandono da execução contratual;</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g) apresentação de documento falso;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h) fraude ou frustração do procedimento mediante ajuste, combinação ou qualquer outro expediente;</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i) afastamento ou tentativa de afastamento de outra licitante por meio de violência, grave ameaça, fraude ou oferecimento de vantagem de qualquer tipo;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j) atuação de má-fé na relação contratual, comprovada em procedimento específico;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k) recebimento de condenação judicial definitiva por praticar, por meios dolosos, fraude fiscal no recolhimento de quaisquer tributos;</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l) demonstração de não possuir idoneidade para contratar com a Administração, em virtude de atos ilícitos praticados, em especial infrações à ordem econômica definidos na Lei Federal nº 8.158/91;</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m) recebimento de condenação definitiva por ato de improbidade administrativa, na forma da lei.</w:t>
      </w:r>
    </w:p>
    <w:p w:rsidR="00832EED" w:rsidRPr="005B2390" w:rsidRDefault="00832EED" w:rsidP="00832EED">
      <w:pPr>
        <w:pStyle w:val="PargrafodaLista"/>
        <w:spacing w:line="276" w:lineRule="auto"/>
        <w:ind w:left="709"/>
        <w:rPr>
          <w:rFonts w:ascii="Verdana" w:hAnsi="Verdana"/>
          <w:lang w:eastAsia="ar-SA"/>
        </w:rPr>
      </w:pPr>
      <w:r w:rsidRPr="005B2390">
        <w:rPr>
          <w:rFonts w:ascii="Verdana" w:hAnsi="Verdana"/>
          <w:lang w:eastAsia="ar-SA"/>
        </w:rPr>
        <w:t>IV - Suspensão temporária de participação em licitação e impedimento de licitar e contratar com a DPPR pelo prazo de até 2 (dois) anos, nas seguintes hipóteses:</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a) recusa injustificada, após ser considerado adjudicatário, a assinar o contrato, aceitar ou retirar o instrumento equivalente, dentro do prazo estabelecido pela Administração;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b) não manutenção da proposta;</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c) abandono da execução contratual;</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d) inexecução contratual.</w:t>
      </w:r>
    </w:p>
    <w:p w:rsidR="00832EED" w:rsidRPr="005B2390" w:rsidRDefault="00832EED" w:rsidP="00832EED">
      <w:pPr>
        <w:pStyle w:val="PargrafodaLista"/>
        <w:spacing w:line="276" w:lineRule="auto"/>
        <w:ind w:left="709"/>
        <w:rPr>
          <w:rFonts w:ascii="Verdana" w:hAnsi="Verdana"/>
          <w:lang w:eastAsia="ar-SA"/>
        </w:rPr>
      </w:pPr>
      <w:r w:rsidRPr="005B2390">
        <w:rPr>
          <w:rFonts w:ascii="Verdana" w:hAnsi="Verdana"/>
          <w:lang w:eastAsia="ar-SA"/>
        </w:rPr>
        <w:t>V - Declaração de inidoneidade para licitar ou contratar com a Administração Pública, pelo prazo máximo de 05 (cinco) anos, aplicada à licitante que:</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a) apresentação de declaração falsa na fase de habilitação;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b) apresentação de documento falso;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c) fraude ou frustração do procedimento mediante ajuste, combinação ou qualquer outro expediente;</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d) afastamento ou tentativa de afastamento de outra licitante por meio de violência, grave ameaça, fraude ou oferecimento de vantagem de qualquer tipo;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e) atuação de má-fé na relação contratual, comprovada em procedimento específico;</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f) recebimento de condenação judicial definitiva por praticar, por meios dolosos, fraude fiscal no recolhimento de quaisquer tributos;</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g) demonstração de não possuir idoneidade para contratar com a Administração, em virtude de atos ilícitos praticados, em especial infrações à ordem econômica definidos na Lei Federal nº 8.158/91;</w:t>
      </w:r>
    </w:p>
    <w:p w:rsidR="00832EED" w:rsidRPr="005B2390" w:rsidRDefault="00832EED" w:rsidP="00832EED">
      <w:pPr>
        <w:pStyle w:val="PargrafodaLista"/>
        <w:spacing w:line="276" w:lineRule="auto"/>
        <w:ind w:left="1134"/>
        <w:rPr>
          <w:rFonts w:ascii="Verdana" w:hAnsi="Verdana"/>
          <w:lang w:eastAsia="ar-SA"/>
        </w:rPr>
      </w:pPr>
      <w:r w:rsidRPr="005B2390">
        <w:rPr>
          <w:rFonts w:ascii="Verdana" w:hAnsi="Verdana"/>
          <w:lang w:eastAsia="ar-SA"/>
        </w:rPr>
        <w:t>h) recebimento de condenação definitiva por ato de improbidade administrativa, na forma da lei.</w:t>
      </w:r>
    </w:p>
    <w:p w:rsidR="00832EED" w:rsidRPr="005B2390" w:rsidRDefault="00832EED" w:rsidP="00832EED">
      <w:pPr>
        <w:pStyle w:val="Ttulo2"/>
        <w:numPr>
          <w:ilvl w:val="1"/>
          <w:numId w:val="1"/>
        </w:numPr>
        <w:spacing w:before="240" w:beforeAutospacing="0" w:after="200" w:afterAutospacing="0" w:line="276" w:lineRule="auto"/>
        <w:contextualSpacing/>
        <w:jc w:val="both"/>
        <w:rPr>
          <w:rFonts w:ascii="Verdana" w:hAnsi="Verdana"/>
          <w:b w:val="0"/>
          <w:bCs w:val="0"/>
          <w:sz w:val="20"/>
          <w:szCs w:val="20"/>
          <w:lang w:eastAsia="ar-SA"/>
        </w:rPr>
      </w:pPr>
      <w:r w:rsidRPr="005B2390">
        <w:rPr>
          <w:rFonts w:ascii="Verdana" w:hAnsi="Verdana"/>
          <w:b w:val="0"/>
          <w:bCs w:val="0"/>
          <w:sz w:val="20"/>
          <w:szCs w:val="20"/>
          <w:lang w:eastAsia="ar-SA"/>
        </w:rPr>
        <w:t xml:space="preserve">As </w:t>
      </w:r>
      <w:r w:rsidRPr="005B2390">
        <w:rPr>
          <w:rFonts w:ascii="Verdana" w:hAnsi="Verdana"/>
          <w:b w:val="0"/>
          <w:bCs w:val="0"/>
          <w:sz w:val="20"/>
          <w:szCs w:val="20"/>
        </w:rPr>
        <w:t>sanções</w:t>
      </w:r>
      <w:r w:rsidRPr="005B2390">
        <w:rPr>
          <w:rFonts w:ascii="Verdana" w:hAnsi="Verdana"/>
          <w:b w:val="0"/>
          <w:bCs w:val="0"/>
          <w:sz w:val="20"/>
          <w:szCs w:val="20"/>
          <w:lang w:eastAsia="ar-SA"/>
        </w:rPr>
        <w:t xml:space="preserve"> previstas acima poderão ser aplicadas cumulativamente.</w:t>
      </w:r>
    </w:p>
    <w:p w:rsidR="00832EED" w:rsidRPr="005B2390" w:rsidRDefault="00832EED" w:rsidP="00832EED">
      <w:pPr>
        <w:pStyle w:val="PargrafodaLista"/>
        <w:spacing w:line="276" w:lineRule="auto"/>
        <w:ind w:left="709"/>
        <w:rPr>
          <w:rFonts w:ascii="Verdana" w:hAnsi="Verdana"/>
        </w:rPr>
      </w:pPr>
    </w:p>
    <w:p w:rsidR="00832EED" w:rsidRPr="005B2390" w:rsidRDefault="00832EED" w:rsidP="00832EED">
      <w:pPr>
        <w:pStyle w:val="Ttulo1"/>
        <w:keepNext/>
        <w:keepLines/>
        <w:numPr>
          <w:ilvl w:val="0"/>
          <w:numId w:val="1"/>
        </w:numPr>
        <w:spacing w:before="0" w:beforeAutospacing="0" w:after="200" w:afterAutospacing="0" w:line="276" w:lineRule="auto"/>
        <w:ind w:left="0" w:hanging="5"/>
        <w:rPr>
          <w:rFonts w:ascii="Verdana" w:hAnsi="Verdana"/>
          <w:sz w:val="20"/>
          <w:szCs w:val="20"/>
        </w:rPr>
      </w:pPr>
      <w:r w:rsidRPr="005B2390">
        <w:rPr>
          <w:rFonts w:ascii="Verdana" w:hAnsi="Verdana"/>
          <w:sz w:val="20"/>
          <w:szCs w:val="20"/>
        </w:rPr>
        <w:t>LEGISLAÇÃO APLICÁVEL</w:t>
      </w:r>
    </w:p>
    <w:p w:rsidR="00832EED" w:rsidRPr="005B2390" w:rsidRDefault="00832EED" w:rsidP="00832EED">
      <w:pPr>
        <w:pStyle w:val="Ttulo2"/>
        <w:numPr>
          <w:ilvl w:val="1"/>
          <w:numId w:val="1"/>
        </w:numPr>
        <w:spacing w:before="240" w:beforeAutospacing="0" w:after="200" w:afterAutospacing="0" w:line="276" w:lineRule="auto"/>
        <w:ind w:left="0" w:hanging="5"/>
        <w:contextualSpacing/>
        <w:jc w:val="both"/>
        <w:rPr>
          <w:rFonts w:ascii="Verdana" w:hAnsi="Verdana"/>
          <w:b w:val="0"/>
          <w:bCs w:val="0"/>
          <w:sz w:val="20"/>
          <w:szCs w:val="20"/>
        </w:rPr>
      </w:pPr>
      <w:r w:rsidRPr="005B2390">
        <w:rPr>
          <w:rFonts w:ascii="Verdana" w:hAnsi="Verdana"/>
          <w:b w:val="0"/>
          <w:bCs w:val="0"/>
          <w:sz w:val="20"/>
          <w:szCs w:val="20"/>
        </w:rPr>
        <w:t>Aplicam-se ao presente Termo de Referência as disposições contidas na Lei Federal n° 10.520/2002, na Lei Complementar Federal n° 123/2006, na Lei Estadual n° 15.608/2007 e legislação complementar, aplicáveis subsidiariamente, no que couber, a Lei Federal n° 8.666/1993 e a Lei Federal n° 8.078/1990.</w:t>
      </w:r>
    </w:p>
    <w:p w:rsidR="00832EED" w:rsidRPr="005B2390" w:rsidRDefault="00832EED" w:rsidP="00832EED">
      <w:pPr>
        <w:pStyle w:val="Ttulo2"/>
        <w:numPr>
          <w:ilvl w:val="1"/>
          <w:numId w:val="1"/>
        </w:numPr>
        <w:spacing w:before="240" w:beforeAutospacing="0" w:after="200" w:afterAutospacing="0" w:line="276" w:lineRule="auto"/>
        <w:contextualSpacing/>
        <w:jc w:val="both"/>
        <w:rPr>
          <w:rFonts w:ascii="Verdana" w:hAnsi="Verdana"/>
          <w:b w:val="0"/>
          <w:bCs w:val="0"/>
          <w:sz w:val="20"/>
          <w:szCs w:val="20"/>
        </w:rPr>
      </w:pPr>
      <w:r w:rsidRPr="005B2390">
        <w:rPr>
          <w:rFonts w:ascii="Verdana" w:hAnsi="Verdana"/>
          <w:b w:val="0"/>
          <w:bCs w:val="0"/>
          <w:sz w:val="20"/>
          <w:szCs w:val="20"/>
        </w:rPr>
        <w:t>Os diplomas legais acima indicados aplicam-se especialmente quanto aos casos omissos.</w:t>
      </w:r>
    </w:p>
    <w:p w:rsidR="00832EED" w:rsidRPr="001A79D6" w:rsidRDefault="00832EED" w:rsidP="00832EED">
      <w:pPr>
        <w:spacing w:line="276" w:lineRule="auto"/>
        <w:rPr>
          <w:bCs/>
          <w:sz w:val="22"/>
        </w:rPr>
      </w:pPr>
    </w:p>
    <w:p w:rsidR="00832EED" w:rsidRDefault="00832EED" w:rsidP="00832EED">
      <w:pPr>
        <w:jc w:val="center"/>
        <w:rPr>
          <w:sz w:val="22"/>
        </w:rPr>
      </w:pPr>
    </w:p>
    <w:p w:rsidR="00832EED" w:rsidRDefault="00832EED" w:rsidP="00832EED">
      <w:pPr>
        <w:jc w:val="center"/>
        <w:rPr>
          <w:sz w:val="22"/>
        </w:rPr>
      </w:pPr>
    </w:p>
    <w:p w:rsidR="00832EED" w:rsidRDefault="00832EED" w:rsidP="00832EED">
      <w:pPr>
        <w:jc w:val="center"/>
        <w:rPr>
          <w:sz w:val="22"/>
        </w:rPr>
      </w:pPr>
    </w:p>
    <w:p w:rsidR="00832EED" w:rsidRDefault="00832EED" w:rsidP="00832EED">
      <w:pPr>
        <w:jc w:val="center"/>
        <w:rPr>
          <w:sz w:val="22"/>
        </w:rPr>
      </w:pPr>
    </w:p>
    <w:p w:rsidR="00832EED" w:rsidRDefault="00832EED" w:rsidP="00832EED">
      <w:pPr>
        <w:jc w:val="center"/>
        <w:rPr>
          <w:sz w:val="22"/>
        </w:rPr>
      </w:pPr>
    </w:p>
    <w:p w:rsidR="00832EED" w:rsidRDefault="00832EED" w:rsidP="00832EED">
      <w:pPr>
        <w:jc w:val="center"/>
        <w:rPr>
          <w:sz w:val="22"/>
        </w:rPr>
      </w:pPr>
    </w:p>
    <w:p w:rsidR="00832EED" w:rsidRDefault="00832EED" w:rsidP="00832EED">
      <w:pPr>
        <w:jc w:val="center"/>
        <w:rPr>
          <w:sz w:val="22"/>
        </w:rPr>
      </w:pPr>
    </w:p>
    <w:p w:rsidR="00E20AB3" w:rsidRDefault="00E20AB3">
      <w:pPr>
        <w:suppressAutoHyphens w:val="0"/>
        <w:rPr>
          <w:b/>
          <w:bCs/>
          <w:sz w:val="22"/>
        </w:rPr>
      </w:pPr>
      <w:r>
        <w:rPr>
          <w:b/>
          <w:bCs/>
          <w:sz w:val="22"/>
        </w:rPr>
        <w:br w:type="page"/>
      </w:r>
    </w:p>
    <w:p w:rsidR="00832EED" w:rsidRPr="005B2390" w:rsidRDefault="00832EED" w:rsidP="00832EED">
      <w:pPr>
        <w:jc w:val="center"/>
        <w:rPr>
          <w:b/>
          <w:bCs/>
          <w:sz w:val="22"/>
        </w:rPr>
      </w:pPr>
      <w:r w:rsidRPr="005B2390">
        <w:rPr>
          <w:b/>
          <w:bCs/>
          <w:sz w:val="22"/>
        </w:rPr>
        <w:t>APÊNDICE I</w:t>
      </w:r>
    </w:p>
    <w:p w:rsidR="00832EED" w:rsidRDefault="00832EED" w:rsidP="00832EED">
      <w:pPr>
        <w:jc w:val="center"/>
        <w:rPr>
          <w:sz w:val="22"/>
        </w:rPr>
      </w:pPr>
    </w:p>
    <w:p w:rsidR="00832EED" w:rsidRDefault="00832EED" w:rsidP="00832EED">
      <w:pPr>
        <w:rPr>
          <w:sz w:val="22"/>
        </w:rPr>
      </w:pPr>
      <w:r>
        <w:rPr>
          <w:sz w:val="22"/>
        </w:rPr>
        <w:t xml:space="preserve">Imagem Referência. </w:t>
      </w:r>
    </w:p>
    <w:p w:rsidR="00832EED" w:rsidRDefault="00832EED" w:rsidP="00832EED">
      <w:pPr>
        <w:rPr>
          <w:sz w:val="22"/>
        </w:rPr>
      </w:pPr>
      <w:r>
        <w:rPr>
          <w:noProof/>
          <w:lang w:eastAsia="pt-BR"/>
        </w:rPr>
        <w:drawing>
          <wp:inline distT="0" distB="0" distL="0" distR="0" wp14:anchorId="54039EA1" wp14:editId="29E9564A">
            <wp:extent cx="3954604" cy="219075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4213" cy="2196073"/>
                    </a:xfrm>
                    <a:prstGeom prst="rect">
                      <a:avLst/>
                    </a:prstGeom>
                  </pic:spPr>
                </pic:pic>
              </a:graphicData>
            </a:graphic>
          </wp:inline>
        </w:drawing>
      </w:r>
    </w:p>
    <w:p w:rsidR="00832EED" w:rsidRDefault="00832EED" w:rsidP="00832EED">
      <w:pPr>
        <w:rPr>
          <w:sz w:val="22"/>
        </w:rPr>
      </w:pPr>
      <w:r>
        <w:rPr>
          <w:sz w:val="22"/>
        </w:rPr>
        <w:t>Imagem Referência. Item 3.</w:t>
      </w:r>
      <w:r w:rsidR="00C8211B">
        <w:rPr>
          <w:sz w:val="22"/>
        </w:rPr>
        <w:t>1</w:t>
      </w:r>
    </w:p>
    <w:p w:rsidR="00832EED" w:rsidRDefault="00832EED" w:rsidP="00832EED">
      <w:pPr>
        <w:rPr>
          <w:sz w:val="22"/>
        </w:rPr>
      </w:pPr>
    </w:p>
    <w:p w:rsidR="00832EED" w:rsidRDefault="00832EED" w:rsidP="00832EED">
      <w:pPr>
        <w:rPr>
          <w:sz w:val="22"/>
        </w:rPr>
      </w:pPr>
      <w:r>
        <w:rPr>
          <w:noProof/>
          <w:lang w:eastAsia="pt-BR"/>
        </w:rPr>
        <w:drawing>
          <wp:inline distT="0" distB="0" distL="0" distR="0" wp14:anchorId="02EAD604" wp14:editId="06210949">
            <wp:extent cx="2533650" cy="2026920"/>
            <wp:effectExtent l="0" t="0" r="0" b="0"/>
            <wp:docPr id="9" name="Imagem 24" descr="https://acrilzano.com.br/wp-content/uploads/2017/09/pulpito-oratoria-acrilizo-acrilzano-luxo-3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4" descr="https://acrilzano.com.br/wp-content/uploads/2017/09/pulpito-oratoria-acrilizo-acrilzano-luxo-300x240.jpg"/>
                    <pic:cNvPicPr>
                      <a:picLocks noChangeAspect="1" noChangeArrowheads="1"/>
                    </pic:cNvPicPr>
                  </pic:nvPicPr>
                  <pic:blipFill>
                    <a:blip r:embed="rId10"/>
                    <a:stretch>
                      <a:fillRect/>
                    </a:stretch>
                  </pic:blipFill>
                  <pic:spPr bwMode="auto">
                    <a:xfrm>
                      <a:off x="0" y="0"/>
                      <a:ext cx="2533650" cy="2026920"/>
                    </a:xfrm>
                    <a:prstGeom prst="rect">
                      <a:avLst/>
                    </a:prstGeom>
                  </pic:spPr>
                </pic:pic>
              </a:graphicData>
            </a:graphic>
          </wp:inline>
        </w:drawing>
      </w:r>
    </w:p>
    <w:p w:rsidR="00832EED" w:rsidRDefault="00832EED" w:rsidP="00832EED">
      <w:pPr>
        <w:rPr>
          <w:sz w:val="22"/>
        </w:rPr>
      </w:pPr>
    </w:p>
    <w:p w:rsidR="00832EED" w:rsidRDefault="00832EED" w:rsidP="00832EED">
      <w:pPr>
        <w:rPr>
          <w:sz w:val="22"/>
        </w:rPr>
      </w:pPr>
      <w:r>
        <w:rPr>
          <w:sz w:val="22"/>
        </w:rPr>
        <w:t>Imagem Referência. Item 3.</w:t>
      </w:r>
      <w:r w:rsidR="00C8211B">
        <w:rPr>
          <w:sz w:val="22"/>
        </w:rPr>
        <w:t>3</w:t>
      </w:r>
      <w:r>
        <w:rPr>
          <w:sz w:val="22"/>
        </w:rPr>
        <w:t xml:space="preserve"> e 3.</w:t>
      </w:r>
      <w:r w:rsidR="00C8211B">
        <w:rPr>
          <w:sz w:val="22"/>
        </w:rPr>
        <w:t>4</w:t>
      </w:r>
    </w:p>
    <w:p w:rsidR="00832EED" w:rsidRDefault="00832EED" w:rsidP="00832EED">
      <w:pPr>
        <w:rPr>
          <w:sz w:val="22"/>
        </w:rPr>
      </w:pPr>
    </w:p>
    <w:p w:rsidR="00832EED" w:rsidRDefault="00832EED" w:rsidP="00832EED">
      <w:pPr>
        <w:rPr>
          <w:sz w:val="22"/>
        </w:rPr>
      </w:pPr>
      <w:r>
        <w:rPr>
          <w:noProof/>
          <w:lang w:eastAsia="pt-BR"/>
        </w:rPr>
        <w:drawing>
          <wp:inline distT="0" distB="0" distL="0" distR="0" wp14:anchorId="3C6DE0FB" wp14:editId="5E5CD523">
            <wp:extent cx="2390775" cy="2789555"/>
            <wp:effectExtent l="0" t="0" r="0" b="0"/>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6"/>
                    <pic:cNvPicPr>
                      <a:picLocks noChangeAspect="1" noChangeArrowheads="1"/>
                    </pic:cNvPicPr>
                  </pic:nvPicPr>
                  <pic:blipFill>
                    <a:blip r:embed="rId11"/>
                    <a:stretch>
                      <a:fillRect/>
                    </a:stretch>
                  </pic:blipFill>
                  <pic:spPr bwMode="auto">
                    <a:xfrm>
                      <a:off x="0" y="0"/>
                      <a:ext cx="2390775" cy="2789555"/>
                    </a:xfrm>
                    <a:prstGeom prst="rect">
                      <a:avLst/>
                    </a:prstGeom>
                  </pic:spPr>
                </pic:pic>
              </a:graphicData>
            </a:graphic>
          </wp:inline>
        </w:drawing>
      </w:r>
      <w:r>
        <w:t xml:space="preserve">    </w:t>
      </w:r>
      <w:r>
        <w:rPr>
          <w:noProof/>
          <w:lang w:eastAsia="pt-BR"/>
        </w:rPr>
        <w:drawing>
          <wp:inline distT="0" distB="0" distL="0" distR="0" wp14:anchorId="2A699A13" wp14:editId="30489622">
            <wp:extent cx="2475230" cy="182308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3"/>
                    <pic:cNvPicPr>
                      <a:picLocks noChangeAspect="1" noChangeArrowheads="1"/>
                    </pic:cNvPicPr>
                  </pic:nvPicPr>
                  <pic:blipFill>
                    <a:blip r:embed="rId12"/>
                    <a:stretch>
                      <a:fillRect/>
                    </a:stretch>
                  </pic:blipFill>
                  <pic:spPr bwMode="auto">
                    <a:xfrm>
                      <a:off x="0" y="0"/>
                      <a:ext cx="2475230" cy="1823085"/>
                    </a:xfrm>
                    <a:prstGeom prst="rect">
                      <a:avLst/>
                    </a:prstGeom>
                  </pic:spPr>
                </pic:pic>
              </a:graphicData>
            </a:graphic>
          </wp:inline>
        </w:drawing>
      </w:r>
    </w:p>
    <w:p w:rsidR="00832EED" w:rsidRDefault="00832EED" w:rsidP="00832EED">
      <w:pPr>
        <w:rPr>
          <w:sz w:val="22"/>
        </w:rPr>
      </w:pPr>
    </w:p>
    <w:p w:rsidR="00832EED" w:rsidRDefault="00832EED" w:rsidP="00832EED">
      <w:pPr>
        <w:rPr>
          <w:sz w:val="22"/>
        </w:rPr>
      </w:pPr>
      <w:r>
        <w:rPr>
          <w:sz w:val="22"/>
        </w:rPr>
        <w:t>Imagem Referência. Item 3.</w:t>
      </w:r>
      <w:r w:rsidR="00C8211B">
        <w:rPr>
          <w:sz w:val="22"/>
        </w:rPr>
        <w:t>4</w:t>
      </w:r>
    </w:p>
    <w:p w:rsidR="00832EED" w:rsidRDefault="00832EED" w:rsidP="00832EED">
      <w:pPr>
        <w:rPr>
          <w:sz w:val="22"/>
        </w:rPr>
      </w:pPr>
    </w:p>
    <w:p w:rsidR="00832EED" w:rsidRDefault="00832EED" w:rsidP="00832EED">
      <w:pPr>
        <w:rPr>
          <w:sz w:val="22"/>
        </w:rPr>
      </w:pPr>
      <w:r>
        <w:rPr>
          <w:noProof/>
          <w:lang w:eastAsia="pt-BR"/>
        </w:rPr>
        <w:drawing>
          <wp:inline distT="0" distB="0" distL="0" distR="0" wp14:anchorId="6BB457E9" wp14:editId="009D8361">
            <wp:extent cx="4362450" cy="1571625"/>
            <wp:effectExtent l="0" t="0" r="0" b="0"/>
            <wp:docPr id="1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9"/>
                    <pic:cNvPicPr>
                      <a:picLocks noChangeAspect="1" noChangeArrowheads="1"/>
                    </pic:cNvPicPr>
                  </pic:nvPicPr>
                  <pic:blipFill>
                    <a:blip r:embed="rId13"/>
                    <a:stretch>
                      <a:fillRect/>
                    </a:stretch>
                  </pic:blipFill>
                  <pic:spPr bwMode="auto">
                    <a:xfrm>
                      <a:off x="0" y="0"/>
                      <a:ext cx="4362450" cy="1571625"/>
                    </a:xfrm>
                    <a:prstGeom prst="rect">
                      <a:avLst/>
                    </a:prstGeom>
                  </pic:spPr>
                </pic:pic>
              </a:graphicData>
            </a:graphic>
          </wp:inline>
        </w:drawing>
      </w:r>
    </w:p>
    <w:p w:rsidR="00832EED" w:rsidRDefault="00832EED" w:rsidP="00832EED">
      <w:pPr>
        <w:spacing w:after="200" w:line="276" w:lineRule="auto"/>
      </w:pPr>
    </w:p>
    <w:p w:rsidR="00832EED" w:rsidRDefault="00832EED" w:rsidP="00832EED">
      <w:pPr>
        <w:spacing w:after="200" w:line="276" w:lineRule="auto"/>
        <w:rPr>
          <w:rFonts w:ascii="Verdana" w:eastAsia="Verdana" w:hAnsi="Verdana" w:cs="Verdana"/>
        </w:rPr>
      </w:pPr>
    </w:p>
    <w:p w:rsidR="00832EED" w:rsidRDefault="00832EED">
      <w:pPr>
        <w:spacing w:after="200" w:line="276" w:lineRule="auto"/>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FF4B01" w:rsidRDefault="00FF4B01">
      <w:pPr>
        <w:suppressAutoHyphens w:val="0"/>
        <w:rPr>
          <w:rFonts w:ascii="Verdana" w:eastAsia="Verdana" w:hAnsi="Verdana" w:cs="Verdana"/>
          <w:b/>
        </w:rPr>
      </w:pPr>
      <w:r>
        <w:rPr>
          <w:rFonts w:ascii="Verdana" w:eastAsia="Verdana" w:hAnsi="Verdana" w:cs="Verdana"/>
          <w:b/>
        </w:rPr>
        <w:br w:type="page"/>
      </w:r>
    </w:p>
    <w:p w:rsidR="00C800F6" w:rsidRDefault="00832EED">
      <w:pPr>
        <w:spacing w:line="276" w:lineRule="auto"/>
        <w:jc w:val="center"/>
      </w:pPr>
      <w:r>
        <w:rPr>
          <w:rFonts w:ascii="Verdana" w:eastAsia="Verdana" w:hAnsi="Verdana" w:cs="Verdana"/>
          <w:b/>
        </w:rPr>
        <w:t>ANEXO II – MODELO DE CARTA DE CREDENCIAMENTO</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rPr>
          <w:rFonts w:ascii="Verdana" w:eastAsia="Verdana" w:hAnsi="Verdana" w:cs="Verdana"/>
        </w:rPr>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F5691F" w:rsidRDefault="00F5691F">
      <w:pPr>
        <w:spacing w:line="276" w:lineRule="auto"/>
        <w:jc w:val="both"/>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(Local), __ de __________ de 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Atenciosamente,</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w:t>
      </w:r>
    </w:p>
    <w:p w:rsidR="00C800F6" w:rsidRDefault="00832EED">
      <w:pPr>
        <w:spacing w:line="276" w:lineRule="auto"/>
        <w:jc w:val="center"/>
      </w:pPr>
      <w:r>
        <w:rPr>
          <w:rFonts w:ascii="Verdana" w:eastAsia="Verdana" w:hAnsi="Verdana" w:cs="Verdana"/>
        </w:rPr>
        <w:t>[Identificação e assinatura do outorgante]</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832EED">
      <w:pPr>
        <w:spacing w:line="276" w:lineRule="auto"/>
        <w:jc w:val="center"/>
      </w:pPr>
      <w:r>
        <w:rPr>
          <w:rFonts w:ascii="Verdana" w:eastAsia="Verdana" w:hAnsi="Verdana" w:cs="Verdana"/>
          <w:b/>
        </w:rPr>
        <w:t>ANEXO III – MODELO DE DECLARAÇÃO DE CUMPRIMENTO DOS REQUISITOS DE HABILITAÇÃO</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(Local), ___ de _________ de 2023.</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w:t>
      </w:r>
    </w:p>
    <w:p w:rsidR="00C800F6" w:rsidRDefault="00832EED">
      <w:pPr>
        <w:spacing w:line="276" w:lineRule="auto"/>
        <w:jc w:val="center"/>
      </w:pPr>
      <w:r>
        <w:rPr>
          <w:rFonts w:ascii="Verdana" w:eastAsia="Verdana" w:hAnsi="Verdana" w:cs="Verdana"/>
        </w:rPr>
        <w:t>Nome da Empresa</w:t>
      </w:r>
    </w:p>
    <w:p w:rsidR="00C800F6" w:rsidRDefault="00832EED">
      <w:pPr>
        <w:spacing w:line="276" w:lineRule="auto"/>
        <w:jc w:val="center"/>
      </w:pPr>
      <w:r>
        <w:rPr>
          <w:rFonts w:ascii="Verdana" w:eastAsia="Verdana" w:hAnsi="Verdana" w:cs="Verdana"/>
        </w:rPr>
        <w:t>CNPJ:</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w:t>
      </w:r>
    </w:p>
    <w:p w:rsidR="00C800F6" w:rsidRDefault="00832EED">
      <w:pPr>
        <w:spacing w:line="276" w:lineRule="auto"/>
        <w:jc w:val="center"/>
      </w:pPr>
      <w:r>
        <w:rPr>
          <w:rFonts w:ascii="Verdana" w:eastAsia="Verdana" w:hAnsi="Verdana" w:cs="Verdana"/>
        </w:rPr>
        <w:t>Representante Legal ou Procurador do Licitante</w:t>
      </w:r>
    </w:p>
    <w:p w:rsidR="00C800F6" w:rsidRDefault="00832EED">
      <w:pPr>
        <w:spacing w:line="276" w:lineRule="auto"/>
        <w:jc w:val="center"/>
      </w:pPr>
      <w:r>
        <w:rPr>
          <w:rFonts w:ascii="Verdana" w:eastAsia="Verdana" w:hAnsi="Verdana" w:cs="Verdana"/>
        </w:rPr>
        <w:t>(nome e assinatura)</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FF4B01" w:rsidRDefault="00FF4B01">
      <w:pPr>
        <w:suppressAutoHyphens w:val="0"/>
        <w:rPr>
          <w:rFonts w:ascii="Verdana" w:eastAsia="Verdana" w:hAnsi="Verdana" w:cs="Verdana"/>
          <w:b/>
        </w:rPr>
      </w:pPr>
      <w:r>
        <w:rPr>
          <w:rFonts w:ascii="Verdana" w:eastAsia="Verdana" w:hAnsi="Verdana" w:cs="Verdana"/>
          <w:b/>
        </w:rPr>
        <w:br w:type="page"/>
      </w:r>
    </w:p>
    <w:p w:rsidR="00C800F6" w:rsidRDefault="00832EED">
      <w:pPr>
        <w:spacing w:line="276" w:lineRule="auto"/>
        <w:jc w:val="center"/>
      </w:pPr>
      <w:r>
        <w:rPr>
          <w:rFonts w:ascii="Verdana" w:eastAsia="Verdana" w:hAnsi="Verdana" w:cs="Verdana"/>
          <w:b/>
        </w:rPr>
        <w:t>ANEXO IV – MODELO DE DECLARAÇÃO DE CONDIÇÃO DE BENEFICIÁRIA DO TRATAMENTO FAVORECIDO PREVISTO NA LC 123/2006</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C800F6" w:rsidRDefault="00832EED">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w:t>
      </w:r>
    </w:p>
    <w:p w:rsidR="00C800F6" w:rsidRDefault="00832EED">
      <w:pPr>
        <w:spacing w:line="276" w:lineRule="auto"/>
        <w:jc w:val="center"/>
      </w:pPr>
      <w:r>
        <w:rPr>
          <w:rFonts w:ascii="Verdana" w:eastAsia="Verdana" w:hAnsi="Verdana" w:cs="Verdana"/>
        </w:rPr>
        <w:t>Local e Data</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_________________________________________________</w:t>
      </w:r>
    </w:p>
    <w:p w:rsidR="00C800F6" w:rsidRDefault="00832EED">
      <w:pPr>
        <w:spacing w:line="276" w:lineRule="auto"/>
        <w:jc w:val="center"/>
      </w:pPr>
      <w:r>
        <w:rPr>
          <w:rFonts w:ascii="Verdana" w:eastAsia="Verdana" w:hAnsi="Verdana" w:cs="Verdana"/>
        </w:rPr>
        <w:t>Representante Legal ou Procurador do Licitante</w:t>
      </w:r>
    </w:p>
    <w:p w:rsidR="00C800F6" w:rsidRDefault="00832EED">
      <w:pPr>
        <w:spacing w:line="276" w:lineRule="auto"/>
        <w:jc w:val="center"/>
      </w:pPr>
      <w:r>
        <w:rPr>
          <w:rFonts w:ascii="Verdana" w:eastAsia="Verdana" w:hAnsi="Verdana" w:cs="Verdana"/>
        </w:rPr>
        <w:t>(nome e assinatura)</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832EED">
      <w:pPr>
        <w:spacing w:line="276" w:lineRule="auto"/>
        <w:jc w:val="center"/>
      </w:pPr>
      <w:r>
        <w:rPr>
          <w:rFonts w:ascii="Verdana" w:eastAsia="Verdana" w:hAnsi="Verdana" w:cs="Verdana"/>
          <w:b/>
        </w:rPr>
        <w:t>ANEXO V – MODELO DE PROPOSTA DE PREÇOS</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Nome do Representante:</w:t>
      </w:r>
    </w:p>
    <w:p w:rsidR="00C800F6" w:rsidRDefault="00832EED">
      <w:pPr>
        <w:spacing w:line="276" w:lineRule="auto"/>
        <w:jc w:val="both"/>
      </w:pPr>
      <w:r>
        <w:rPr>
          <w:rFonts w:ascii="Verdana" w:eastAsia="Verdana" w:hAnsi="Verdana" w:cs="Verdana"/>
        </w:rPr>
        <w:t>RG:</w:t>
      </w:r>
    </w:p>
    <w:p w:rsidR="00C800F6" w:rsidRDefault="00832EED">
      <w:pPr>
        <w:spacing w:line="276" w:lineRule="auto"/>
        <w:jc w:val="both"/>
      </w:pPr>
      <w:r>
        <w:rPr>
          <w:rFonts w:ascii="Verdana" w:eastAsia="Verdana" w:hAnsi="Verdana" w:cs="Verdana"/>
        </w:rPr>
        <w:t>CPF:</w:t>
      </w:r>
    </w:p>
    <w:p w:rsidR="00C800F6" w:rsidRDefault="00832EED">
      <w:pPr>
        <w:spacing w:line="276" w:lineRule="auto"/>
        <w:jc w:val="both"/>
      </w:pPr>
      <w:r>
        <w:rPr>
          <w:rFonts w:ascii="Verdana" w:eastAsia="Verdana" w:hAnsi="Verdana" w:cs="Verdana"/>
        </w:rPr>
        <w:t>Razão Social da Empresa:</w:t>
      </w:r>
    </w:p>
    <w:p w:rsidR="00C800F6" w:rsidRDefault="00832EED">
      <w:pPr>
        <w:spacing w:line="276" w:lineRule="auto"/>
        <w:jc w:val="both"/>
      </w:pPr>
      <w:r>
        <w:rPr>
          <w:rFonts w:ascii="Verdana" w:eastAsia="Verdana" w:hAnsi="Verdana" w:cs="Verdana"/>
        </w:rPr>
        <w:t>CNPJ:</w:t>
      </w:r>
    </w:p>
    <w:p w:rsidR="00C800F6" w:rsidRDefault="00832EED">
      <w:pPr>
        <w:spacing w:line="276" w:lineRule="auto"/>
        <w:jc w:val="both"/>
      </w:pPr>
      <w:r>
        <w:rPr>
          <w:rFonts w:ascii="Verdana" w:eastAsia="Verdana" w:hAnsi="Verdana" w:cs="Verdana"/>
        </w:rPr>
        <w:t>Endereço:</w:t>
      </w:r>
    </w:p>
    <w:p w:rsidR="00C800F6" w:rsidRDefault="00832EED">
      <w:pPr>
        <w:spacing w:line="276" w:lineRule="auto"/>
        <w:jc w:val="both"/>
      </w:pPr>
      <w:r>
        <w:rPr>
          <w:rFonts w:ascii="Verdana" w:eastAsia="Verdana" w:hAnsi="Verdana" w:cs="Verdana"/>
        </w:rPr>
        <w:t>Telefone:</w:t>
      </w:r>
    </w:p>
    <w:p w:rsidR="00C800F6" w:rsidRDefault="00832EED">
      <w:pPr>
        <w:spacing w:line="276" w:lineRule="auto"/>
        <w:jc w:val="both"/>
      </w:pPr>
      <w:r>
        <w:rPr>
          <w:rFonts w:ascii="Verdana" w:eastAsia="Verdana" w:hAnsi="Verdana" w:cs="Verdana"/>
        </w:rPr>
        <w:t>Email:</w:t>
      </w:r>
    </w:p>
    <w:p w:rsidR="00C800F6" w:rsidRDefault="00832EED">
      <w:pPr>
        <w:spacing w:line="276" w:lineRule="auto"/>
        <w:jc w:val="both"/>
      </w:pPr>
      <w:r>
        <w:rPr>
          <w:rFonts w:ascii="Verdana" w:eastAsia="Verdana" w:hAnsi="Verdana" w:cs="Verdana"/>
        </w:rPr>
        <w:t>Banco, agência e conta para pagamento:</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tbl>
      <w:tblPr>
        <w:tblStyle w:val="a2"/>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C800F6">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Valor Total</w:t>
            </w:r>
          </w:p>
        </w:tc>
      </w:tr>
      <w:tr w:rsidR="00C800F6">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F5691F">
            <w:pPr>
              <w:spacing w:line="276" w:lineRule="auto"/>
              <w:jc w:val="center"/>
            </w:pPr>
            <w: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C800F6">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C800F6">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C800F6" w:rsidRDefault="00C800F6">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r>
              <w:rPr>
                <w:rFonts w:ascii="Verdana" w:eastAsia="Verdana" w:hAnsi="Verdana" w:cs="Verdana"/>
                <w:sz w:val="16"/>
                <w:szCs w:val="16"/>
              </w:rPr>
              <w:t>R$</w:t>
            </w:r>
          </w:p>
        </w:tc>
      </w:tr>
      <w:tr w:rsidR="00C800F6">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C800F6">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C800F6">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C800F6">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C800F6" w:rsidRDefault="00C800F6">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r>
              <w:rPr>
                <w:rFonts w:ascii="Verdana" w:eastAsia="Verdana" w:hAnsi="Verdana" w:cs="Verdana"/>
                <w:sz w:val="16"/>
                <w:szCs w:val="16"/>
              </w:rPr>
              <w:t>R$</w:t>
            </w:r>
          </w:p>
        </w:tc>
      </w:tr>
      <w:tr w:rsidR="00C800F6">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00F6" w:rsidRDefault="00832EED">
            <w:pPr>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C800F6" w:rsidRDefault="00832EED">
            <w:pPr>
              <w:spacing w:line="276" w:lineRule="auto"/>
              <w:rPr>
                <w:b/>
              </w:rPr>
            </w:pPr>
            <w:r>
              <w:rPr>
                <w:rFonts w:ascii="Verdana" w:eastAsia="Verdana" w:hAnsi="Verdana" w:cs="Verdana"/>
                <w:b/>
                <w:sz w:val="16"/>
                <w:szCs w:val="16"/>
              </w:rPr>
              <w:t xml:space="preserve">R$ </w:t>
            </w:r>
          </w:p>
        </w:tc>
      </w:tr>
    </w:tbl>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A validade da proposta é de 60 (sessenta) dias.</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(Local), ____ de ____________ de 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_________________________________________________</w:t>
      </w:r>
    </w:p>
    <w:p w:rsidR="00C800F6" w:rsidRDefault="00832EED">
      <w:pPr>
        <w:spacing w:line="276" w:lineRule="auto"/>
        <w:jc w:val="center"/>
      </w:pPr>
      <w:r>
        <w:rPr>
          <w:rFonts w:ascii="Verdana" w:eastAsia="Verdana" w:hAnsi="Verdana" w:cs="Verdana"/>
        </w:rPr>
        <w:t>(nome e assinatura do representante)</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F5691F" w:rsidRDefault="00F5691F">
      <w:pPr>
        <w:suppressAutoHyphens w:val="0"/>
        <w:rPr>
          <w:rFonts w:ascii="Verdana" w:eastAsia="Verdana" w:hAnsi="Verdana" w:cs="Verdana"/>
          <w:b/>
        </w:rPr>
      </w:pPr>
      <w:r>
        <w:rPr>
          <w:rFonts w:ascii="Verdana" w:eastAsia="Verdana" w:hAnsi="Verdana" w:cs="Verdana"/>
          <w:b/>
        </w:rPr>
        <w:br w:type="page"/>
      </w:r>
    </w:p>
    <w:p w:rsidR="00C800F6" w:rsidRDefault="00832EED">
      <w:pPr>
        <w:spacing w:line="276" w:lineRule="auto"/>
        <w:jc w:val="center"/>
      </w:pPr>
      <w:r>
        <w:rPr>
          <w:rFonts w:ascii="Verdana" w:eastAsia="Verdana" w:hAnsi="Verdana" w:cs="Verdana"/>
          <w:b/>
        </w:rPr>
        <w:t>ANEXO VI – DECLARAÇÃO DE CUMPRIMENTO DO ARTIGO 7º, XXXIII, DA CONSTITUIÇÃO FEDERAL</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C800F6" w:rsidRDefault="00C800F6">
      <w:pPr>
        <w:spacing w:line="276" w:lineRule="auto"/>
        <w:jc w:val="both"/>
        <w:rPr>
          <w:rFonts w:ascii="Verdana" w:eastAsia="Verdana" w:hAnsi="Verdana" w:cs="Verdana"/>
        </w:rPr>
      </w:pPr>
    </w:p>
    <w:p w:rsidR="00C800F6" w:rsidRDefault="00832EED">
      <w:pPr>
        <w:spacing w:line="276" w:lineRule="auto"/>
        <w:jc w:val="both"/>
      </w:pPr>
      <w:r>
        <w:rPr>
          <w:rFonts w:ascii="Verdana" w:eastAsia="Verdana" w:hAnsi="Verdana" w:cs="Verdana"/>
        </w:rPr>
        <w:t>Por ser expressão de verdade, firmamos a presente declaração.</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(Local), ____ de __________ de 2023.</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w:t>
      </w:r>
    </w:p>
    <w:p w:rsidR="00C800F6" w:rsidRDefault="00832EED">
      <w:pPr>
        <w:spacing w:line="276" w:lineRule="auto"/>
        <w:jc w:val="center"/>
      </w:pPr>
      <w:r>
        <w:rPr>
          <w:rFonts w:ascii="Verdana" w:eastAsia="Verdana" w:hAnsi="Verdana" w:cs="Verdana"/>
        </w:rPr>
        <w:t>Nome da Empresa</w:t>
      </w:r>
    </w:p>
    <w:p w:rsidR="00C800F6" w:rsidRDefault="00832EED">
      <w:pPr>
        <w:spacing w:line="276" w:lineRule="auto"/>
        <w:jc w:val="center"/>
      </w:pPr>
      <w:r>
        <w:rPr>
          <w:rFonts w:ascii="Verdana" w:eastAsia="Verdana" w:hAnsi="Verdana" w:cs="Verdana"/>
        </w:rPr>
        <w:t>CNPJ:</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_________________________________________________________</w:t>
      </w:r>
    </w:p>
    <w:p w:rsidR="00C800F6" w:rsidRDefault="00832EED">
      <w:pPr>
        <w:spacing w:line="276" w:lineRule="auto"/>
        <w:jc w:val="center"/>
      </w:pPr>
      <w:r>
        <w:rPr>
          <w:rFonts w:ascii="Verdana" w:eastAsia="Verdana" w:hAnsi="Verdana" w:cs="Verdana"/>
        </w:rPr>
        <w:t>Representante Legal ou Procurador do Licitante</w:t>
      </w:r>
    </w:p>
    <w:p w:rsidR="00C800F6" w:rsidRDefault="00832EED">
      <w:pPr>
        <w:spacing w:line="276" w:lineRule="auto"/>
        <w:jc w:val="center"/>
      </w:pPr>
      <w:r>
        <w:rPr>
          <w:rFonts w:ascii="Verdana" w:eastAsia="Verdana" w:hAnsi="Verdana" w:cs="Verdana"/>
        </w:rPr>
        <w:t>(nome e assinatura)</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b/>
        </w:rPr>
        <w:t>ANEXO VII – DECLARAÇÃO DE IDONEIDADE</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both"/>
      </w:pPr>
      <w:r>
        <w:rPr>
          <w:rFonts w:ascii="Verdana" w:eastAsia="Verdana" w:hAnsi="Verdana" w:cs="Verdana"/>
        </w:rPr>
        <w:t>Por ser expressão da verdade, firmamos a presente.</w:t>
      </w: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(Local), _____ de _____________ de 2023.</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w:t>
      </w:r>
    </w:p>
    <w:p w:rsidR="00C800F6" w:rsidRDefault="00832EED">
      <w:pPr>
        <w:spacing w:line="276" w:lineRule="auto"/>
        <w:jc w:val="center"/>
      </w:pPr>
      <w:r>
        <w:rPr>
          <w:rFonts w:ascii="Verdana" w:eastAsia="Verdana" w:hAnsi="Verdana" w:cs="Verdana"/>
        </w:rPr>
        <w:t>Nome da Empresa</w:t>
      </w:r>
    </w:p>
    <w:p w:rsidR="00C800F6" w:rsidRDefault="00832EED">
      <w:pPr>
        <w:spacing w:line="276" w:lineRule="auto"/>
        <w:jc w:val="center"/>
      </w:pPr>
      <w:r>
        <w:rPr>
          <w:rFonts w:ascii="Verdana" w:eastAsia="Verdana" w:hAnsi="Verdana" w:cs="Verdana"/>
        </w:rPr>
        <w:t>CNPJ:</w:t>
      </w: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_____________________________________________________________</w:t>
      </w:r>
    </w:p>
    <w:p w:rsidR="00C800F6" w:rsidRDefault="00832EED">
      <w:pPr>
        <w:spacing w:line="276" w:lineRule="auto"/>
        <w:jc w:val="center"/>
      </w:pPr>
      <w:r>
        <w:rPr>
          <w:rFonts w:ascii="Verdana" w:eastAsia="Verdana" w:hAnsi="Verdana" w:cs="Verdana"/>
        </w:rPr>
        <w:t>Representante Legal ou Procurador do Licitante</w:t>
      </w:r>
    </w:p>
    <w:p w:rsidR="00C800F6" w:rsidRDefault="00832EED">
      <w:pPr>
        <w:spacing w:line="276" w:lineRule="auto"/>
        <w:jc w:val="center"/>
      </w:pPr>
      <w:r>
        <w:rPr>
          <w:rFonts w:ascii="Verdana" w:eastAsia="Verdana" w:hAnsi="Verdana" w:cs="Verdana"/>
        </w:rPr>
        <w:t>(nome e assinatura)</w:t>
      </w: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C800F6">
      <w:pPr>
        <w:spacing w:after="200" w:line="276" w:lineRule="auto"/>
        <w:rPr>
          <w:rFonts w:ascii="Verdana" w:eastAsia="Verdana" w:hAnsi="Verdana" w:cs="Verdana"/>
        </w:rPr>
      </w:pPr>
    </w:p>
    <w:p w:rsidR="00C800F6" w:rsidRDefault="00832EED">
      <w:pPr>
        <w:spacing w:line="276" w:lineRule="auto"/>
        <w:jc w:val="center"/>
      </w:pPr>
      <w:bookmarkStart w:id="1" w:name="_heading=h.2et92p0" w:colFirst="0" w:colLast="0"/>
      <w:bookmarkEnd w:id="1"/>
      <w:r>
        <w:rPr>
          <w:rFonts w:ascii="Verdana" w:eastAsia="Verdana" w:hAnsi="Verdana" w:cs="Verdana"/>
          <w:b/>
        </w:rPr>
        <w:t>ANEXO VIII – DECLARAÇÃO DE ATENDIMENTO À POLÍTICA PÚBLICA AMBIENTAL DE LICITAÇÃO SUSTENTÁVEL</w:t>
      </w:r>
    </w:p>
    <w:p w:rsidR="00C800F6" w:rsidRDefault="00C800F6">
      <w:pPr>
        <w:spacing w:line="276" w:lineRule="auto"/>
        <w:jc w:val="center"/>
        <w:rPr>
          <w:rFonts w:ascii="Verdana" w:eastAsia="Verdana" w:hAnsi="Verdana" w:cs="Verdana"/>
          <w:b/>
        </w:rPr>
      </w:pPr>
    </w:p>
    <w:p w:rsidR="00C800F6" w:rsidRDefault="00C800F6">
      <w:pPr>
        <w:spacing w:line="276" w:lineRule="auto"/>
        <w:jc w:val="center"/>
        <w:rPr>
          <w:rFonts w:ascii="Verdana" w:eastAsia="Verdana" w:hAnsi="Verdana" w:cs="Verdana"/>
        </w:rPr>
      </w:pPr>
    </w:p>
    <w:p w:rsidR="00C800F6" w:rsidRDefault="00832EED">
      <w:pPr>
        <w:spacing w:line="276" w:lineRule="auto"/>
        <w:jc w:val="both"/>
      </w:pPr>
      <w:r>
        <w:rPr>
          <w:rFonts w:ascii="Verdana" w:eastAsia="Verdana" w:hAnsi="Verdana" w:cs="Verdana"/>
        </w:rPr>
        <w:t>À</w:t>
      </w:r>
    </w:p>
    <w:p w:rsidR="00C800F6" w:rsidRDefault="00832EED">
      <w:pPr>
        <w:spacing w:line="276" w:lineRule="auto"/>
        <w:jc w:val="both"/>
      </w:pPr>
      <w:r>
        <w:rPr>
          <w:rFonts w:ascii="Verdana" w:eastAsia="Verdana" w:hAnsi="Verdana" w:cs="Verdana"/>
        </w:rPr>
        <w:t>DEFENSORIA PÚBLICA DO ESTADO DO PARANÁ</w:t>
      </w:r>
    </w:p>
    <w:p w:rsidR="00C800F6" w:rsidRDefault="00832EED">
      <w:pPr>
        <w:spacing w:line="276" w:lineRule="auto"/>
        <w:jc w:val="both"/>
      </w:pPr>
      <w:r>
        <w:rPr>
          <w:rFonts w:ascii="Verdana" w:eastAsia="Verdana" w:hAnsi="Verdana" w:cs="Verdana"/>
        </w:rPr>
        <w:t xml:space="preserve">EDITAL DE PREGÃO ELETRÔNICO Nº </w:t>
      </w:r>
      <w:r w:rsidR="00FF4B01">
        <w:rPr>
          <w:rFonts w:ascii="Verdana" w:eastAsia="Verdana" w:hAnsi="Verdana" w:cs="Verdana"/>
        </w:rPr>
        <w:t>034/</w:t>
      </w:r>
      <w:r>
        <w:rPr>
          <w:rFonts w:ascii="Verdana" w:eastAsia="Verdana" w:hAnsi="Verdana" w:cs="Verdana"/>
        </w:rPr>
        <w:t>2023</w:t>
      </w:r>
    </w:p>
    <w:p w:rsidR="00C800F6" w:rsidRDefault="00C800F6">
      <w:pPr>
        <w:spacing w:line="276" w:lineRule="auto"/>
        <w:jc w:val="center"/>
        <w:rPr>
          <w:rFonts w:ascii="Verdana" w:eastAsia="Verdana" w:hAnsi="Verdana" w:cs="Verdana"/>
          <w:b/>
        </w:rPr>
      </w:pPr>
    </w:p>
    <w:p w:rsidR="00C800F6" w:rsidRDefault="00C800F6">
      <w:pPr>
        <w:spacing w:line="276" w:lineRule="auto"/>
        <w:jc w:val="center"/>
        <w:rPr>
          <w:rFonts w:ascii="Verdana" w:eastAsia="Verdana" w:hAnsi="Verdana" w:cs="Verdana"/>
          <w:b/>
        </w:rPr>
      </w:pPr>
    </w:p>
    <w:p w:rsidR="00C800F6" w:rsidRDefault="00C800F6">
      <w:pPr>
        <w:spacing w:line="276" w:lineRule="auto"/>
        <w:jc w:val="both"/>
        <w:rPr>
          <w:rFonts w:ascii="Verdana" w:eastAsia="Verdana" w:hAnsi="Verdana" w:cs="Verdana"/>
          <w:b/>
        </w:rPr>
      </w:pPr>
    </w:p>
    <w:p w:rsidR="00C800F6" w:rsidRDefault="00832EED">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(Local), ____ de __________ de 2023.</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w:t>
      </w:r>
    </w:p>
    <w:p w:rsidR="00C800F6" w:rsidRDefault="00832EED">
      <w:pPr>
        <w:spacing w:line="276" w:lineRule="auto"/>
        <w:jc w:val="center"/>
      </w:pPr>
      <w:r>
        <w:rPr>
          <w:rFonts w:ascii="Verdana" w:eastAsia="Verdana" w:hAnsi="Verdana" w:cs="Verdana"/>
        </w:rPr>
        <w:t>Nome da Empresa</w:t>
      </w:r>
    </w:p>
    <w:p w:rsidR="00C800F6" w:rsidRDefault="00832EED">
      <w:pPr>
        <w:spacing w:line="276" w:lineRule="auto"/>
        <w:jc w:val="center"/>
      </w:pPr>
      <w:r>
        <w:rPr>
          <w:rFonts w:ascii="Verdana" w:eastAsia="Verdana" w:hAnsi="Verdana" w:cs="Verdana"/>
        </w:rPr>
        <w:t>CNPJ:</w:t>
      </w: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C800F6">
      <w:pPr>
        <w:spacing w:line="276" w:lineRule="auto"/>
        <w:jc w:val="center"/>
        <w:rPr>
          <w:rFonts w:ascii="Verdana" w:eastAsia="Verdana" w:hAnsi="Verdana" w:cs="Verdana"/>
        </w:rPr>
      </w:pPr>
    </w:p>
    <w:p w:rsidR="00C800F6" w:rsidRDefault="00832EED">
      <w:pPr>
        <w:spacing w:line="276" w:lineRule="auto"/>
        <w:jc w:val="center"/>
      </w:pPr>
      <w:r>
        <w:rPr>
          <w:rFonts w:ascii="Verdana" w:eastAsia="Verdana" w:hAnsi="Verdana" w:cs="Verdana"/>
        </w:rPr>
        <w:t>_________________________________________________________</w:t>
      </w:r>
    </w:p>
    <w:p w:rsidR="00C800F6" w:rsidRDefault="00832EED">
      <w:pPr>
        <w:spacing w:line="276" w:lineRule="auto"/>
        <w:jc w:val="center"/>
      </w:pPr>
      <w:r>
        <w:rPr>
          <w:rFonts w:ascii="Verdana" w:eastAsia="Verdana" w:hAnsi="Verdana" w:cs="Verdana"/>
        </w:rPr>
        <w:t>Representante Legal ou Procurador do Licitante</w:t>
      </w:r>
    </w:p>
    <w:p w:rsidR="00C800F6" w:rsidRDefault="00832EED">
      <w:pPr>
        <w:spacing w:line="276" w:lineRule="auto"/>
        <w:jc w:val="center"/>
        <w:rPr>
          <w:rFonts w:ascii="Verdana" w:eastAsia="Verdana" w:hAnsi="Verdana" w:cs="Verdana"/>
          <w:b/>
        </w:rPr>
      </w:pPr>
      <w:r>
        <w:rPr>
          <w:rFonts w:ascii="Verdana" w:eastAsia="Verdana" w:hAnsi="Verdana" w:cs="Verdana"/>
        </w:rPr>
        <w:t>(nome e assinatura)</w:t>
      </w:r>
    </w:p>
    <w:sectPr w:rsidR="00C800F6">
      <w:headerReference w:type="even" r:id="rId14"/>
      <w:headerReference w:type="default" r:id="rId15"/>
      <w:footerReference w:type="even" r:id="rId16"/>
      <w:footerReference w:type="default" r:id="rId17"/>
      <w:headerReference w:type="first" r:id="rId18"/>
      <w:footerReference w:type="first" r:id="rId19"/>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B7" w:rsidRDefault="00C017B7">
      <w:r>
        <w:separator/>
      </w:r>
    </w:p>
  </w:endnote>
  <w:endnote w:type="continuationSeparator" w:id="0">
    <w:p w:rsidR="00C017B7" w:rsidRDefault="00C0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C017B7" w:rsidRDefault="00C017B7">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C017B7" w:rsidRDefault="00C017B7">
    <w:pPr>
      <w:pBdr>
        <w:top w:val="nil"/>
        <w:left w:val="nil"/>
        <w:bottom w:val="nil"/>
        <w:right w:val="nil"/>
        <w:between w:val="nil"/>
      </w:pBdr>
      <w:tabs>
        <w:tab w:val="center" w:pos="4419"/>
        <w:tab w:val="right" w:pos="8838"/>
      </w:tabs>
      <w:jc w:val="center"/>
      <w:rPr>
        <w:rFonts w:ascii="Tahoma" w:eastAsia="Tahoma" w:hAnsi="Tahoma" w:cs="Tahoma"/>
        <w:color w:val="808080"/>
      </w:rPr>
    </w:pPr>
  </w:p>
  <w:p w:rsidR="00C017B7" w:rsidRDefault="00C017B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rPr>
        <w:color w:val="000000"/>
      </w:rPr>
    </w:pPr>
  </w:p>
  <w:p w:rsidR="00C017B7" w:rsidRDefault="00C017B7">
    <w:pPr>
      <w:pBdr>
        <w:top w:val="nil"/>
        <w:left w:val="nil"/>
        <w:bottom w:val="nil"/>
        <w:right w:val="nil"/>
        <w:between w:val="nil"/>
      </w:pBdr>
      <w:tabs>
        <w:tab w:val="center" w:pos="4419"/>
        <w:tab w:val="right" w:pos="8838"/>
      </w:tabs>
      <w:rPr>
        <w:color w:val="000000"/>
        <w:sz w:val="2"/>
        <w:szCs w:val="2"/>
      </w:rPr>
    </w:pPr>
  </w:p>
  <w:p w:rsidR="00C017B7" w:rsidRDefault="00C017B7">
    <w:pPr>
      <w:pBdr>
        <w:top w:val="nil"/>
        <w:left w:val="nil"/>
        <w:bottom w:val="nil"/>
        <w:right w:val="nil"/>
        <w:between w:val="nil"/>
      </w:pBdr>
      <w:tabs>
        <w:tab w:val="center" w:pos="4419"/>
        <w:tab w:val="right" w:pos="8838"/>
      </w:tabs>
      <w:rPr>
        <w:color w:val="000000"/>
      </w:rPr>
    </w:pPr>
  </w:p>
  <w:p w:rsidR="00C017B7" w:rsidRDefault="00C017B7">
    <w:pPr>
      <w:pBdr>
        <w:top w:val="nil"/>
        <w:left w:val="nil"/>
        <w:bottom w:val="nil"/>
        <w:right w:val="nil"/>
        <w:between w:val="nil"/>
      </w:pBdr>
      <w:tabs>
        <w:tab w:val="center" w:pos="4419"/>
        <w:tab w:val="right" w:pos="8838"/>
      </w:tabs>
      <w:rPr>
        <w:color w:val="000000"/>
      </w:rPr>
    </w:pPr>
  </w:p>
  <w:p w:rsidR="00C017B7" w:rsidRDefault="00C017B7">
    <w:pPr>
      <w:pBdr>
        <w:top w:val="nil"/>
        <w:left w:val="nil"/>
        <w:bottom w:val="nil"/>
        <w:right w:val="nil"/>
        <w:between w:val="nil"/>
      </w:pBdr>
      <w:tabs>
        <w:tab w:val="center" w:pos="4419"/>
        <w:tab w:val="right" w:pos="8838"/>
      </w:tabs>
      <w:rPr>
        <w:color w:val="000000"/>
      </w:rPr>
    </w:pPr>
  </w:p>
  <w:p w:rsidR="00C017B7" w:rsidRDefault="00C017B7">
    <w:pPr>
      <w:pBdr>
        <w:top w:val="nil"/>
        <w:left w:val="nil"/>
        <w:bottom w:val="nil"/>
        <w:right w:val="nil"/>
        <w:between w:val="nil"/>
      </w:pBdr>
      <w:tabs>
        <w:tab w:val="center" w:pos="4419"/>
        <w:tab w:val="right" w:pos="8838"/>
      </w:tabs>
      <w:rPr>
        <w:color w:val="000000"/>
      </w:rPr>
    </w:pPr>
  </w:p>
  <w:p w:rsidR="00C017B7" w:rsidRDefault="00C017B7">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B7" w:rsidRDefault="00C017B7">
      <w:r>
        <w:separator/>
      </w:r>
    </w:p>
  </w:footnote>
  <w:footnote w:type="continuationSeparator" w:id="0">
    <w:p w:rsidR="00C017B7" w:rsidRDefault="00C0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jc w:val="right"/>
      <w:rPr>
        <w:color w:val="000000"/>
      </w:rPr>
    </w:pPr>
  </w:p>
  <w:p w:rsidR="00C017B7" w:rsidRDefault="00C017B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91B13">
      <w:rPr>
        <w:b/>
        <w:noProof/>
        <w:color w:val="000000"/>
        <w:sz w:val="24"/>
        <w:szCs w:val="24"/>
      </w:rPr>
      <w:t>29</w:t>
    </w:r>
    <w:r>
      <w:rPr>
        <w:b/>
        <w:color w:val="000000"/>
        <w:sz w:val="24"/>
        <w:szCs w:val="24"/>
      </w:rPr>
      <w:fldChar w:fldCharType="end"/>
    </w:r>
  </w:p>
  <w:p w:rsidR="00C017B7" w:rsidRDefault="00C017B7">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1B3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1B30">
      <w:rPr>
        <w:b/>
        <w:noProof/>
        <w:color w:val="000000"/>
        <w:sz w:val="24"/>
        <w:szCs w:val="24"/>
      </w:rPr>
      <w:t>16</w:t>
    </w:r>
    <w:r>
      <w:rPr>
        <w:b/>
        <w:color w:val="000000"/>
        <w:sz w:val="24"/>
        <w:szCs w:val="24"/>
      </w:rPr>
      <w:fldChar w:fldCharType="end"/>
    </w:r>
  </w:p>
  <w:p w:rsidR="00C017B7" w:rsidRDefault="00C017B7">
    <w:pPr>
      <w:tabs>
        <w:tab w:val="center" w:pos="4419"/>
        <w:tab w:val="right" w:pos="8838"/>
      </w:tabs>
      <w:jc w:val="center"/>
    </w:pPr>
    <w:r>
      <w:rPr>
        <w:noProof/>
        <w:lang w:eastAsia="pt-BR"/>
      </w:rPr>
      <w:drawing>
        <wp:inline distT="114300" distB="114300" distL="114300" distR="114300">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C017B7" w:rsidRDefault="00C017B7">
    <w:pPr>
      <w:tabs>
        <w:tab w:val="center" w:pos="4419"/>
        <w:tab w:val="right" w:pos="88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B7" w:rsidRDefault="00C017B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43D95"/>
    <w:multiLevelType w:val="multilevel"/>
    <w:tmpl w:val="E85A5CA8"/>
    <w:lvl w:ilvl="0">
      <w:start w:val="1"/>
      <w:numFmt w:val="decimal"/>
      <w:lvlText w:val="%1."/>
      <w:lvlJc w:val="left"/>
      <w:pPr>
        <w:tabs>
          <w:tab w:val="num" w:pos="0"/>
        </w:tabs>
        <w:ind w:left="355" w:hanging="360"/>
      </w:pPr>
      <w:rPr>
        <w:rFonts w:eastAsia="Verdana" w:cs="Times New Roman"/>
        <w:b/>
        <w:bCs/>
      </w:rPr>
    </w:lvl>
    <w:lvl w:ilvl="1">
      <w:start w:val="1"/>
      <w:numFmt w:val="decimal"/>
      <w:lvlText w:val="%1.%2."/>
      <w:lvlJc w:val="left"/>
      <w:pPr>
        <w:tabs>
          <w:tab w:val="num" w:pos="0"/>
        </w:tabs>
        <w:ind w:left="715" w:hanging="720"/>
      </w:pPr>
      <w:rPr>
        <w:b w:val="0"/>
        <w:bCs/>
        <w:i w:val="0"/>
        <w:iCs w:val="0"/>
        <w:caps w:val="0"/>
        <w:smallCaps w:val="0"/>
        <w:strike w:val="0"/>
        <w:dstrike w:val="0"/>
        <w:outline w:val="0"/>
        <w:shadow w:val="0"/>
        <w:emboss w:val="0"/>
        <w:imprint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075" w:hanging="1080"/>
      </w:pPr>
      <w:rPr>
        <w:rFonts w:cs="Times New Roman"/>
        <w:sz w:val="20"/>
        <w:szCs w:val="20"/>
      </w:rPr>
    </w:lvl>
    <w:lvl w:ilvl="3">
      <w:start w:val="1"/>
      <w:numFmt w:val="decimal"/>
      <w:lvlText w:val="%1.%2.%3.%4."/>
      <w:lvlJc w:val="left"/>
      <w:pPr>
        <w:tabs>
          <w:tab w:val="num" w:pos="0"/>
        </w:tabs>
        <w:ind w:left="1075" w:hanging="1080"/>
      </w:pPr>
    </w:lvl>
    <w:lvl w:ilvl="4">
      <w:start w:val="1"/>
      <w:numFmt w:val="decimal"/>
      <w:lvlText w:val="%1.%2.%3.%4.%5."/>
      <w:lvlJc w:val="left"/>
      <w:pPr>
        <w:tabs>
          <w:tab w:val="num" w:pos="0"/>
        </w:tabs>
        <w:ind w:left="1435" w:hanging="1440"/>
      </w:pPr>
    </w:lvl>
    <w:lvl w:ilvl="5">
      <w:start w:val="1"/>
      <w:numFmt w:val="decimal"/>
      <w:lvlText w:val="%1.%2.%3.%4.%5.%6."/>
      <w:lvlJc w:val="left"/>
      <w:pPr>
        <w:tabs>
          <w:tab w:val="num" w:pos="0"/>
        </w:tabs>
        <w:ind w:left="1795" w:hanging="1800"/>
      </w:pPr>
    </w:lvl>
    <w:lvl w:ilvl="6">
      <w:start w:val="1"/>
      <w:numFmt w:val="decimal"/>
      <w:lvlText w:val="%1.%2.%3.%4.%5.%6.%7."/>
      <w:lvlJc w:val="left"/>
      <w:pPr>
        <w:tabs>
          <w:tab w:val="num" w:pos="0"/>
        </w:tabs>
        <w:ind w:left="1795" w:hanging="1800"/>
      </w:pPr>
    </w:lvl>
    <w:lvl w:ilvl="7">
      <w:start w:val="1"/>
      <w:numFmt w:val="decimal"/>
      <w:lvlText w:val="%1.%2.%3.%4.%5.%6.%7.%8."/>
      <w:lvlJc w:val="left"/>
      <w:pPr>
        <w:tabs>
          <w:tab w:val="num" w:pos="0"/>
        </w:tabs>
        <w:ind w:left="2155" w:hanging="2160"/>
      </w:pPr>
    </w:lvl>
    <w:lvl w:ilvl="8">
      <w:start w:val="1"/>
      <w:numFmt w:val="decimal"/>
      <w:lvlText w:val="%1.%2.%3.%4.%5.%6.%7.%8.%9."/>
      <w:lvlJc w:val="left"/>
      <w:pPr>
        <w:tabs>
          <w:tab w:val="num" w:pos="0"/>
        </w:tabs>
        <w:ind w:left="2515" w:hanging="25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F6"/>
    <w:rsid w:val="001C2773"/>
    <w:rsid w:val="002938A8"/>
    <w:rsid w:val="00306274"/>
    <w:rsid w:val="0033255E"/>
    <w:rsid w:val="003911B3"/>
    <w:rsid w:val="00473EA3"/>
    <w:rsid w:val="00567199"/>
    <w:rsid w:val="00591B13"/>
    <w:rsid w:val="00594727"/>
    <w:rsid w:val="007B2E05"/>
    <w:rsid w:val="00832EED"/>
    <w:rsid w:val="00972A39"/>
    <w:rsid w:val="00A71B30"/>
    <w:rsid w:val="00B32FAB"/>
    <w:rsid w:val="00B539AD"/>
    <w:rsid w:val="00C017B7"/>
    <w:rsid w:val="00C75172"/>
    <w:rsid w:val="00C800F6"/>
    <w:rsid w:val="00C8211B"/>
    <w:rsid w:val="00CE5CD6"/>
    <w:rsid w:val="00CF1D29"/>
    <w:rsid w:val="00D32FE1"/>
    <w:rsid w:val="00DC1AAA"/>
    <w:rsid w:val="00E20AB3"/>
    <w:rsid w:val="00F427E5"/>
    <w:rsid w:val="00F46E37"/>
    <w:rsid w:val="00F5691F"/>
    <w:rsid w:val="00F977E5"/>
    <w:rsid w:val="00FA449C"/>
    <w:rsid w:val="00FB4F8D"/>
    <w:rsid w:val="00FF4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CF1CA9-424D-4DAE-9DEC-832F4B7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link w:val="Ttulo3Ch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character" w:customStyle="1" w:styleId="Ttulo3Char">
    <w:name w:val="Título 3 Char"/>
    <w:basedOn w:val="Fontepargpadro"/>
    <w:link w:val="Ttulo3"/>
    <w:uiPriority w:val="9"/>
    <w:qFormat/>
    <w:rsid w:val="00832EED"/>
    <w:rPr>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ImDsF9nVBH8BdDTQ/KDmF5A0cA==">AMUW2mXtRUz+Pf8OqUTw4SQjnv5tyaDYDpddwsZrTRTENhCvxQsJM9aIpE9a3cXVW/1AQkVaPGw4V6S8oDNc7Fi0Mj7DMiH8B1yqKo/1ljDlLn2kMQBvu+Qat0BdMqStncbYpSfF5U4hO9CH31KlhXrVk25EtozmvzCnxmHbwS2mTiRTvGjq5GU=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3B2F0B-4DE2-41D0-BF4B-AE6B5FBF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3420</Words>
  <Characters>18470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2023-08-15T15:25:00Z</cp:lastPrinted>
  <dcterms:created xsi:type="dcterms:W3CDTF">2023-08-16T15:36:00Z</dcterms:created>
  <dcterms:modified xsi:type="dcterms:W3CDTF">2023-08-16T15:36:00Z</dcterms:modified>
</cp:coreProperties>
</file>