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85" w:rsidRDefault="007359AC">
      <w:pPr>
        <w:pStyle w:val="LO-normal"/>
        <w:spacing w:line="276" w:lineRule="auto"/>
        <w:jc w:val="center"/>
        <w:rPr>
          <w:rFonts w:ascii="Verdana" w:eastAsia="Verdana" w:hAnsi="Verdana" w:cs="Verdana"/>
          <w:b/>
        </w:rPr>
      </w:pPr>
      <w:bookmarkStart w:id="0" w:name="_GoBack"/>
      <w:bookmarkEnd w:id="0"/>
      <w:r w:rsidRPr="007359AC">
        <w:rPr>
          <w:rFonts w:ascii="Verdana" w:eastAsia="Verdana" w:hAnsi="Verdana" w:cs="Verdana"/>
          <w:b/>
        </w:rPr>
        <w:t>ANEXO I - TERMO DE REFERÊNCIA</w:t>
      </w:r>
    </w:p>
    <w:p w:rsidR="007359AC" w:rsidRPr="007359AC" w:rsidRDefault="007359AC">
      <w:pPr>
        <w:pStyle w:val="LO-normal"/>
        <w:spacing w:line="276" w:lineRule="auto"/>
        <w:jc w:val="center"/>
        <w:rPr>
          <w:rFonts w:ascii="Verdana" w:hAnsi="Verdana"/>
        </w:rPr>
      </w:pPr>
    </w:p>
    <w:p w:rsidR="00B82D85" w:rsidRPr="007359AC" w:rsidRDefault="00B82D85">
      <w:pPr>
        <w:pStyle w:val="LO-normal"/>
        <w:spacing w:line="276" w:lineRule="auto"/>
        <w:jc w:val="both"/>
        <w:rPr>
          <w:rFonts w:ascii="Verdana" w:eastAsia="Verdana" w:hAnsi="Verdana" w:cs="Verdana"/>
        </w:rPr>
      </w:pPr>
    </w:p>
    <w:p w:rsidR="007359AC" w:rsidRPr="007359AC" w:rsidRDefault="007359AC" w:rsidP="007359AC">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DO OBJETO</w:t>
      </w:r>
    </w:p>
    <w:p w:rsidR="007359AC" w:rsidRPr="007359AC" w:rsidRDefault="007359AC" w:rsidP="007359AC">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Constituição de Sistema de Registro de Preços, para futura e eventual aquisição de utensílios de copa em inox e alumínio, para a Defensoria Pública do Estado do Paraná.</w:t>
      </w:r>
    </w:p>
    <w:p w:rsidR="007359AC" w:rsidRPr="007359AC" w:rsidRDefault="007359AC" w:rsidP="007359AC">
      <w:pPr>
        <w:pBdr>
          <w:top w:val="nil"/>
          <w:left w:val="nil"/>
          <w:bottom w:val="nil"/>
          <w:right w:val="nil"/>
          <w:between w:val="nil"/>
        </w:pBdr>
        <w:rPr>
          <w:rFonts w:ascii="Verdana" w:eastAsia="Arial" w:hAnsi="Verdana" w:cs="Arial"/>
          <w:color w:val="000000"/>
        </w:rPr>
      </w:pPr>
    </w:p>
    <w:p w:rsidR="007359AC" w:rsidRPr="007359AC" w:rsidRDefault="007359AC" w:rsidP="007359AC">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 xml:space="preserve">DO DETALHAMENTO DO OBJETO </w:t>
      </w:r>
    </w:p>
    <w:p w:rsidR="00530F77" w:rsidRPr="00530F77" w:rsidRDefault="00530F77" w:rsidP="00530F77">
      <w:pPr>
        <w:pStyle w:val="PargrafodaLista"/>
        <w:numPr>
          <w:ilvl w:val="0"/>
          <w:numId w:val="2"/>
        </w:numPr>
        <w:pBdr>
          <w:top w:val="nil"/>
          <w:left w:val="nil"/>
          <w:bottom w:val="nil"/>
          <w:right w:val="nil"/>
          <w:between w:val="nil"/>
        </w:pBdr>
        <w:spacing w:before="120"/>
        <w:contextualSpacing w:val="0"/>
        <w:jc w:val="both"/>
        <w:rPr>
          <w:rFonts w:ascii="Verdana" w:eastAsia="Arial" w:hAnsi="Verdana"/>
          <w:vanish/>
          <w:color w:val="000000"/>
          <w:lang w:eastAsia="ar-SA"/>
        </w:rPr>
      </w:pPr>
    </w:p>
    <w:p w:rsidR="00530F77" w:rsidRPr="00530F77" w:rsidRDefault="00530F77" w:rsidP="00530F77">
      <w:pPr>
        <w:pStyle w:val="PargrafodaLista"/>
        <w:numPr>
          <w:ilvl w:val="0"/>
          <w:numId w:val="2"/>
        </w:numPr>
        <w:pBdr>
          <w:top w:val="nil"/>
          <w:left w:val="nil"/>
          <w:bottom w:val="nil"/>
          <w:right w:val="nil"/>
          <w:between w:val="nil"/>
        </w:pBdr>
        <w:spacing w:before="120"/>
        <w:contextualSpacing w:val="0"/>
        <w:jc w:val="both"/>
        <w:rPr>
          <w:rFonts w:ascii="Verdana" w:eastAsia="Arial" w:hAnsi="Verdana"/>
          <w:vanish/>
          <w:color w:val="000000"/>
          <w:lang w:eastAsia="ar-SA"/>
        </w:rPr>
      </w:pPr>
    </w:p>
    <w:p w:rsidR="007359AC" w:rsidRPr="007359AC" w:rsidRDefault="007359AC" w:rsidP="00530F77">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 primeira aquisição será de 50% (cinquenta por cento) do total de cada item, sendo que o saldo remanescente, se necessário, poderá ser adquirido até o término de vigência da Ata de Registro de Preços, para todos os itens.</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As quantidades previstas pela Administração são meramente estimativas, definidas em função de consumo e utilização provável, nos termos do inc. II do § 7º do art. 15 da Lei nº 8.666/93. A contratação obedecerá às necessidades e demandas concretas da DPE/PR, sendo devidos ao FORNECEDOR os pagamentos referentes e relacionados, apenas, aos serviços e/ou materiais efetivamente prestados e/ou fornecidos, segundo as normas e condições fixadas neste instrumento.</w:t>
      </w:r>
    </w:p>
    <w:p w:rsidR="007359AC" w:rsidRPr="007359AC" w:rsidRDefault="007359AC" w:rsidP="007359AC">
      <w:pPr>
        <w:pBdr>
          <w:top w:val="nil"/>
          <w:left w:val="nil"/>
          <w:bottom w:val="nil"/>
          <w:right w:val="nil"/>
          <w:between w:val="nil"/>
        </w:pBdr>
        <w:ind w:left="720" w:hanging="360"/>
        <w:jc w:val="both"/>
        <w:rPr>
          <w:rFonts w:ascii="Verdana" w:eastAsia="Arial" w:hAnsi="Verdana" w:cs="Arial"/>
          <w:color w:val="000000"/>
        </w:rPr>
      </w:pPr>
    </w:p>
    <w:tbl>
      <w:tblPr>
        <w:tblW w:w="9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425"/>
        <w:gridCol w:w="3544"/>
        <w:gridCol w:w="1417"/>
        <w:gridCol w:w="1276"/>
        <w:gridCol w:w="1977"/>
      </w:tblGrid>
      <w:tr w:rsidR="007359AC" w:rsidRPr="007359AC" w:rsidTr="00D97AA0">
        <w:trPr>
          <w:cantSplit/>
          <w:trHeight w:val="1134"/>
        </w:trPr>
        <w:tc>
          <w:tcPr>
            <w:tcW w:w="426" w:type="dxa"/>
            <w:shd w:val="clear" w:color="auto" w:fill="A6A6A6"/>
            <w:textDirection w:val="btLr"/>
          </w:tcPr>
          <w:p w:rsidR="007359AC" w:rsidRPr="00F967AD" w:rsidRDefault="007359AC" w:rsidP="007359AC">
            <w:pPr>
              <w:ind w:left="113" w:right="113"/>
              <w:jc w:val="center"/>
              <w:rPr>
                <w:rFonts w:ascii="Verdana" w:eastAsia="Arial" w:hAnsi="Verdana" w:cs="Arial"/>
                <w:b/>
              </w:rPr>
            </w:pPr>
            <w:r w:rsidRPr="00F967AD">
              <w:rPr>
                <w:rFonts w:ascii="Verdana" w:eastAsia="Arial" w:hAnsi="Verdana" w:cs="Arial"/>
                <w:b/>
              </w:rPr>
              <w:t>LOTE</w:t>
            </w:r>
          </w:p>
        </w:tc>
        <w:tc>
          <w:tcPr>
            <w:tcW w:w="425" w:type="dxa"/>
            <w:shd w:val="clear" w:color="auto" w:fill="A6A6A6"/>
            <w:textDirection w:val="btLr"/>
            <w:vAlign w:val="center"/>
          </w:tcPr>
          <w:p w:rsidR="007359AC" w:rsidRPr="00F967AD" w:rsidRDefault="007359AC" w:rsidP="007359AC">
            <w:pPr>
              <w:ind w:left="113" w:right="113"/>
              <w:jc w:val="center"/>
              <w:rPr>
                <w:rFonts w:ascii="Verdana" w:eastAsia="Arial" w:hAnsi="Verdana" w:cs="Arial"/>
                <w:b/>
              </w:rPr>
            </w:pPr>
            <w:r w:rsidRPr="00F967AD">
              <w:rPr>
                <w:rFonts w:ascii="Verdana" w:eastAsia="Arial" w:hAnsi="Verdana" w:cs="Arial"/>
                <w:b/>
              </w:rPr>
              <w:t>ITEM</w:t>
            </w:r>
          </w:p>
        </w:tc>
        <w:tc>
          <w:tcPr>
            <w:tcW w:w="3544" w:type="dxa"/>
            <w:shd w:val="clear" w:color="auto" w:fill="A6A6A6"/>
            <w:vAlign w:val="center"/>
          </w:tcPr>
          <w:p w:rsidR="007359AC" w:rsidRPr="00F967AD" w:rsidRDefault="007359AC" w:rsidP="007359AC">
            <w:pPr>
              <w:jc w:val="center"/>
              <w:rPr>
                <w:rFonts w:ascii="Verdana" w:eastAsia="Arial" w:hAnsi="Verdana" w:cs="Arial"/>
                <w:b/>
              </w:rPr>
            </w:pPr>
            <w:r w:rsidRPr="00F967AD">
              <w:rPr>
                <w:rFonts w:ascii="Verdana" w:eastAsia="Arial" w:hAnsi="Verdana" w:cs="Arial"/>
                <w:b/>
              </w:rPr>
              <w:t>DESCRIÇÃO</w:t>
            </w:r>
          </w:p>
        </w:tc>
        <w:tc>
          <w:tcPr>
            <w:tcW w:w="1417" w:type="dxa"/>
            <w:shd w:val="clear" w:color="auto" w:fill="A6A6A6"/>
            <w:vAlign w:val="center"/>
          </w:tcPr>
          <w:p w:rsidR="007359AC" w:rsidRPr="00F967AD" w:rsidRDefault="007359AC" w:rsidP="007359AC">
            <w:pPr>
              <w:jc w:val="center"/>
              <w:rPr>
                <w:rFonts w:ascii="Verdana" w:eastAsia="Arial" w:hAnsi="Verdana" w:cs="Arial"/>
                <w:b/>
              </w:rPr>
            </w:pPr>
            <w:r w:rsidRPr="00F967AD">
              <w:rPr>
                <w:rFonts w:ascii="Verdana" w:eastAsia="Arial" w:hAnsi="Verdana" w:cs="Arial"/>
                <w:b/>
              </w:rPr>
              <w:t>QUANT. ESTIMADA</w:t>
            </w:r>
          </w:p>
        </w:tc>
        <w:tc>
          <w:tcPr>
            <w:tcW w:w="1276" w:type="dxa"/>
            <w:shd w:val="clear" w:color="auto" w:fill="A6A6A6"/>
            <w:vAlign w:val="center"/>
          </w:tcPr>
          <w:p w:rsidR="007359AC" w:rsidRPr="00F967AD" w:rsidRDefault="007359AC" w:rsidP="007359AC">
            <w:pPr>
              <w:jc w:val="center"/>
              <w:rPr>
                <w:rFonts w:ascii="Verdana" w:eastAsia="Arial" w:hAnsi="Verdana" w:cs="Arial"/>
                <w:b/>
              </w:rPr>
            </w:pPr>
            <w:r w:rsidRPr="00F967AD">
              <w:rPr>
                <w:rFonts w:ascii="Verdana" w:eastAsia="Arial" w:hAnsi="Verdana" w:cs="Arial"/>
                <w:b/>
              </w:rPr>
              <w:t>PREÇO UNITÁRIO MÁXIMO</w:t>
            </w:r>
          </w:p>
        </w:tc>
        <w:tc>
          <w:tcPr>
            <w:tcW w:w="1977" w:type="dxa"/>
            <w:shd w:val="clear" w:color="auto" w:fill="A6A6A6"/>
            <w:vAlign w:val="center"/>
          </w:tcPr>
          <w:p w:rsidR="007359AC" w:rsidRPr="00F967AD" w:rsidRDefault="007359AC" w:rsidP="007359AC">
            <w:pPr>
              <w:jc w:val="center"/>
              <w:rPr>
                <w:rFonts w:ascii="Verdana" w:eastAsia="Arial" w:hAnsi="Verdana" w:cs="Arial"/>
                <w:b/>
              </w:rPr>
            </w:pPr>
            <w:r w:rsidRPr="00F967AD">
              <w:rPr>
                <w:rFonts w:ascii="Verdana" w:eastAsia="Arial" w:hAnsi="Verdana" w:cs="Arial"/>
                <w:b/>
              </w:rPr>
              <w:t>PREÇO TOTAL MÁXIMO</w:t>
            </w:r>
          </w:p>
        </w:tc>
      </w:tr>
      <w:tr w:rsidR="007359AC" w:rsidRPr="007359AC" w:rsidTr="00D97AA0">
        <w:trPr>
          <w:trHeight w:val="396"/>
        </w:trPr>
        <w:tc>
          <w:tcPr>
            <w:tcW w:w="426" w:type="dxa"/>
            <w:vMerge w:val="restart"/>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1</w:t>
            </w:r>
          </w:p>
        </w:tc>
        <w:tc>
          <w:tcPr>
            <w:tcW w:w="425" w:type="dxa"/>
            <w:tcBorders>
              <w:bottom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1</w:t>
            </w:r>
          </w:p>
        </w:tc>
        <w:tc>
          <w:tcPr>
            <w:tcW w:w="3544" w:type="dxa"/>
            <w:tcBorders>
              <w:bottom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b/>
              </w:rPr>
              <w:t>Porta Guardanapo de Mesa</w:t>
            </w:r>
            <w:r w:rsidRPr="00F967AD">
              <w:rPr>
                <w:rFonts w:ascii="Verdana" w:eastAsia="Arial" w:hAnsi="Verdana" w:cs="Arial"/>
              </w:rPr>
              <w:t>, FORMATO: Meia Lua, MATERIAL: Em Aço Inox, TAMANHO: COMPRIMENTO: no mínimo 11cm, UNID. DE MEDIDA: Unitário</w:t>
            </w:r>
          </w:p>
        </w:tc>
        <w:tc>
          <w:tcPr>
            <w:tcW w:w="1417" w:type="dxa"/>
            <w:tcBorders>
              <w:bottom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80</w:t>
            </w:r>
          </w:p>
        </w:tc>
        <w:tc>
          <w:tcPr>
            <w:tcW w:w="1276" w:type="dxa"/>
            <w:tcBorders>
              <w:bottom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Pr="00F967AD">
              <w:rPr>
                <w:rFonts w:ascii="Verdana" w:hAnsi="Verdana"/>
              </w:rPr>
              <w:t xml:space="preserve"> </w:t>
            </w:r>
            <w:r w:rsidRPr="00F967AD">
              <w:rPr>
                <w:rFonts w:ascii="Verdana" w:eastAsia="Arial" w:hAnsi="Verdana" w:cs="Arial"/>
              </w:rPr>
              <w:t>20,84</w:t>
            </w:r>
          </w:p>
        </w:tc>
        <w:tc>
          <w:tcPr>
            <w:tcW w:w="1977" w:type="dxa"/>
            <w:tcBorders>
              <w:bottom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Pr="00F967AD">
              <w:rPr>
                <w:rFonts w:ascii="Verdana" w:hAnsi="Verdana"/>
              </w:rPr>
              <w:t xml:space="preserve"> </w:t>
            </w:r>
            <w:r w:rsidRPr="00F967AD">
              <w:rPr>
                <w:rFonts w:ascii="Verdana" w:eastAsia="Arial" w:hAnsi="Verdana" w:cs="Arial"/>
              </w:rPr>
              <w:t>1.667,20</w:t>
            </w:r>
          </w:p>
        </w:tc>
      </w:tr>
      <w:tr w:rsidR="007359AC" w:rsidRPr="007359AC" w:rsidTr="00D97AA0">
        <w:trPr>
          <w:trHeight w:val="216"/>
        </w:trPr>
        <w:tc>
          <w:tcPr>
            <w:tcW w:w="426" w:type="dxa"/>
            <w:vMerge/>
          </w:tcPr>
          <w:p w:rsidR="007359AC" w:rsidRPr="00F967AD" w:rsidRDefault="007359AC" w:rsidP="007359AC">
            <w:pPr>
              <w:jc w:val="center"/>
              <w:rPr>
                <w:rFonts w:ascii="Verdana" w:eastAsia="Arial" w:hAnsi="Verdana" w:cs="Arial"/>
              </w:rPr>
            </w:pPr>
          </w:p>
        </w:tc>
        <w:tc>
          <w:tcPr>
            <w:tcW w:w="425" w:type="dxa"/>
            <w:tcBorders>
              <w:bottom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2</w:t>
            </w:r>
          </w:p>
        </w:tc>
        <w:tc>
          <w:tcPr>
            <w:tcW w:w="3544" w:type="dxa"/>
            <w:tcBorders>
              <w:bottom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hAnsi="Verdana"/>
                <w:b/>
                <w:color w:val="000000"/>
              </w:rPr>
              <w:t>Colher de mesa</w:t>
            </w:r>
            <w:r w:rsidRPr="00F967AD">
              <w:rPr>
                <w:rFonts w:ascii="Verdana" w:hAnsi="Verdana"/>
                <w:color w:val="000000"/>
              </w:rPr>
              <w:t>, MATERIAL: Totalmente em aço inox, COMPRIMENTO: Mínimo 190mm, UNID. DE MEDIDA: Unitário</w:t>
            </w:r>
          </w:p>
        </w:tc>
        <w:tc>
          <w:tcPr>
            <w:tcW w:w="1417" w:type="dxa"/>
            <w:tcBorders>
              <w:bottom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300</w:t>
            </w:r>
          </w:p>
        </w:tc>
        <w:tc>
          <w:tcPr>
            <w:tcW w:w="1276" w:type="dxa"/>
            <w:tcBorders>
              <w:bottom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Pr="00F967AD">
              <w:rPr>
                <w:rFonts w:ascii="Verdana" w:hAnsi="Verdana"/>
              </w:rPr>
              <w:t xml:space="preserve"> </w:t>
            </w:r>
            <w:r w:rsidRPr="00F967AD">
              <w:rPr>
                <w:rFonts w:ascii="Verdana" w:eastAsia="Arial" w:hAnsi="Verdana" w:cs="Arial"/>
              </w:rPr>
              <w:t>9,76</w:t>
            </w:r>
          </w:p>
        </w:tc>
        <w:tc>
          <w:tcPr>
            <w:tcW w:w="1977" w:type="dxa"/>
            <w:tcBorders>
              <w:bottom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R$ 2.928,00</w:t>
            </w:r>
          </w:p>
        </w:tc>
      </w:tr>
      <w:tr w:rsidR="007359AC" w:rsidRPr="007359AC" w:rsidTr="00D97AA0">
        <w:trPr>
          <w:trHeight w:val="272"/>
        </w:trPr>
        <w:tc>
          <w:tcPr>
            <w:tcW w:w="426" w:type="dxa"/>
            <w:vMerge/>
          </w:tcPr>
          <w:p w:rsidR="007359AC" w:rsidRPr="00F967AD" w:rsidRDefault="007359AC" w:rsidP="007359AC">
            <w:pPr>
              <w:jc w:val="center"/>
              <w:rPr>
                <w:rFonts w:ascii="Verdana" w:eastAsia="Arial" w:hAnsi="Verdana" w:cs="Arial"/>
              </w:rPr>
            </w:pPr>
          </w:p>
        </w:tc>
        <w:tc>
          <w:tcPr>
            <w:tcW w:w="425" w:type="dxa"/>
            <w:tcBorders>
              <w:top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hAnsi="Verdana"/>
                <w:b/>
                <w:color w:val="000000"/>
              </w:rPr>
              <w:t>Faca de mesa</w:t>
            </w:r>
            <w:r w:rsidRPr="00F967AD">
              <w:rPr>
                <w:rFonts w:ascii="Verdana" w:hAnsi="Verdana"/>
                <w:color w:val="000000"/>
              </w:rPr>
              <w:t>, MATERIAL: Totalmente em aço inox, COMPRIMENTO: Mínimo 200mm, UNID. DE MEDIDA: Unitário</w:t>
            </w:r>
          </w:p>
        </w:tc>
        <w:tc>
          <w:tcPr>
            <w:tcW w:w="141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300</w:t>
            </w:r>
          </w:p>
        </w:tc>
        <w:tc>
          <w:tcPr>
            <w:tcW w:w="1276"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hAnsi="Verdana"/>
              </w:rPr>
              <w:t xml:space="preserve"> </w:t>
            </w:r>
            <w:r w:rsidR="00B90B7A" w:rsidRPr="00F967AD">
              <w:rPr>
                <w:rFonts w:ascii="Verdana" w:eastAsia="Arial" w:hAnsi="Verdana" w:cs="Arial"/>
              </w:rPr>
              <w:t>12,66</w:t>
            </w:r>
          </w:p>
        </w:tc>
        <w:tc>
          <w:tcPr>
            <w:tcW w:w="197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eastAsia="Arial" w:hAnsi="Verdana" w:cs="Arial"/>
              </w:rPr>
              <w:t xml:space="preserve"> 3.798,00</w:t>
            </w:r>
          </w:p>
        </w:tc>
      </w:tr>
      <w:tr w:rsidR="007359AC" w:rsidRPr="007359AC" w:rsidTr="00D97AA0">
        <w:trPr>
          <w:trHeight w:val="272"/>
        </w:trPr>
        <w:tc>
          <w:tcPr>
            <w:tcW w:w="426" w:type="dxa"/>
            <w:vMerge/>
          </w:tcPr>
          <w:p w:rsidR="007359AC" w:rsidRPr="00F967AD" w:rsidRDefault="007359AC" w:rsidP="007359AC">
            <w:pPr>
              <w:jc w:val="center"/>
              <w:rPr>
                <w:rFonts w:ascii="Verdana" w:eastAsia="Arial" w:hAnsi="Verdana" w:cs="Arial"/>
              </w:rPr>
            </w:pPr>
          </w:p>
        </w:tc>
        <w:tc>
          <w:tcPr>
            <w:tcW w:w="425" w:type="dxa"/>
            <w:tcBorders>
              <w:top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b/>
              </w:rPr>
            </w:pPr>
            <w:r w:rsidRPr="00F967AD">
              <w:rPr>
                <w:rFonts w:ascii="Verdana" w:eastAsia="Arial" w:hAnsi="Verdana" w:cs="Arial"/>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b/>
              </w:rPr>
            </w:pPr>
            <w:r w:rsidRPr="00F967AD">
              <w:rPr>
                <w:rFonts w:ascii="Verdana" w:hAnsi="Verdana"/>
                <w:b/>
                <w:color w:val="000000"/>
              </w:rPr>
              <w:t>Garfo de mesa</w:t>
            </w:r>
            <w:r w:rsidRPr="00F967AD">
              <w:rPr>
                <w:rFonts w:ascii="Verdana" w:hAnsi="Verdana"/>
                <w:color w:val="000000"/>
              </w:rPr>
              <w:t>, MATERIAL: Totalmente em aço inox, COMPRIMENTO: Mínimo 190mm, UNID. DE MEDIDA: Unitário</w:t>
            </w:r>
          </w:p>
        </w:tc>
        <w:tc>
          <w:tcPr>
            <w:tcW w:w="141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300</w:t>
            </w:r>
          </w:p>
          <w:p w:rsidR="007359AC" w:rsidRPr="00F967AD" w:rsidRDefault="007359AC" w:rsidP="007359AC">
            <w:pPr>
              <w:jc w:val="center"/>
              <w:rPr>
                <w:rFonts w:ascii="Verdana" w:eastAsia="Arial" w:hAnsi="Verdana"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eastAsia="Arial" w:hAnsi="Verdana" w:cs="Arial"/>
              </w:rPr>
              <w:t xml:space="preserve"> 8,99</w:t>
            </w:r>
          </w:p>
        </w:tc>
        <w:tc>
          <w:tcPr>
            <w:tcW w:w="197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hAnsi="Verdana"/>
              </w:rPr>
              <w:t xml:space="preserve"> </w:t>
            </w:r>
            <w:r w:rsidR="00B90B7A" w:rsidRPr="00F967AD">
              <w:rPr>
                <w:rFonts w:ascii="Verdana" w:eastAsia="Arial" w:hAnsi="Verdana" w:cs="Arial"/>
              </w:rPr>
              <w:t>2.697,00</w:t>
            </w:r>
          </w:p>
        </w:tc>
      </w:tr>
      <w:tr w:rsidR="007359AC" w:rsidRPr="007359AC" w:rsidTr="00D97AA0">
        <w:trPr>
          <w:trHeight w:val="272"/>
        </w:trPr>
        <w:tc>
          <w:tcPr>
            <w:tcW w:w="426" w:type="dxa"/>
            <w:vMerge/>
          </w:tcPr>
          <w:p w:rsidR="007359AC" w:rsidRPr="00F967AD" w:rsidRDefault="007359AC" w:rsidP="007359AC">
            <w:pPr>
              <w:jc w:val="center"/>
              <w:rPr>
                <w:rFonts w:ascii="Verdana" w:eastAsia="Arial" w:hAnsi="Verdana" w:cs="Arial"/>
              </w:rPr>
            </w:pPr>
          </w:p>
        </w:tc>
        <w:tc>
          <w:tcPr>
            <w:tcW w:w="425" w:type="dxa"/>
            <w:tcBorders>
              <w:top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color w:val="000000"/>
              </w:rPr>
            </w:pPr>
            <w:r w:rsidRPr="00F967AD">
              <w:rPr>
                <w:rFonts w:ascii="Verdana" w:hAnsi="Verdana"/>
                <w:b/>
                <w:color w:val="000000"/>
              </w:rPr>
              <w:t>Bandeja</w:t>
            </w:r>
            <w:r w:rsidRPr="00F967AD">
              <w:rPr>
                <w:rFonts w:ascii="Verdana" w:hAnsi="Verdana"/>
                <w:color w:val="000000"/>
              </w:rPr>
              <w:t>, MATERIAL: Totalmente em aço inox, DIMENSÃO: Mínima de 40X28cm, FORMATO: Retangular, CARACTERÍSTICAS ADICIONAIS: Com Alça, UNID. DE MEDIDA: Unitário</w:t>
            </w:r>
          </w:p>
        </w:tc>
        <w:tc>
          <w:tcPr>
            <w:tcW w:w="141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80</w:t>
            </w:r>
          </w:p>
        </w:tc>
        <w:tc>
          <w:tcPr>
            <w:tcW w:w="1276"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hAnsi="Verdana"/>
              </w:rPr>
              <w:t xml:space="preserve"> </w:t>
            </w:r>
            <w:r w:rsidR="00B90B7A" w:rsidRPr="00F967AD">
              <w:rPr>
                <w:rFonts w:ascii="Verdana" w:eastAsia="Arial" w:hAnsi="Verdana" w:cs="Arial"/>
              </w:rPr>
              <w:t>95,85</w:t>
            </w:r>
          </w:p>
        </w:tc>
        <w:tc>
          <w:tcPr>
            <w:tcW w:w="197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eastAsia="Arial" w:hAnsi="Verdana" w:cs="Arial"/>
              </w:rPr>
              <w:t xml:space="preserve"> 7.668,00</w:t>
            </w:r>
          </w:p>
        </w:tc>
      </w:tr>
      <w:tr w:rsidR="007359AC" w:rsidRPr="007359AC" w:rsidTr="00D97AA0">
        <w:trPr>
          <w:trHeight w:val="272"/>
        </w:trPr>
        <w:tc>
          <w:tcPr>
            <w:tcW w:w="426" w:type="dxa"/>
            <w:vMerge/>
          </w:tcPr>
          <w:p w:rsidR="007359AC" w:rsidRPr="00F967AD" w:rsidRDefault="007359AC" w:rsidP="007359AC">
            <w:pPr>
              <w:jc w:val="center"/>
              <w:rPr>
                <w:rFonts w:ascii="Verdana" w:eastAsia="Arial" w:hAnsi="Verdana" w:cs="Arial"/>
              </w:rPr>
            </w:pPr>
          </w:p>
        </w:tc>
        <w:tc>
          <w:tcPr>
            <w:tcW w:w="425" w:type="dxa"/>
            <w:tcBorders>
              <w:top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6</w:t>
            </w:r>
          </w:p>
        </w:tc>
        <w:tc>
          <w:tcPr>
            <w:tcW w:w="3544"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color w:val="000000"/>
              </w:rPr>
            </w:pPr>
            <w:r w:rsidRPr="00F967AD">
              <w:rPr>
                <w:rFonts w:ascii="Verdana" w:hAnsi="Verdana"/>
                <w:b/>
                <w:color w:val="000000"/>
              </w:rPr>
              <w:t>Escorredor de Louça</w:t>
            </w:r>
            <w:r w:rsidRPr="00F967AD">
              <w:rPr>
                <w:rFonts w:ascii="Verdana" w:hAnsi="Verdana"/>
                <w:color w:val="000000"/>
              </w:rPr>
              <w:t xml:space="preserve">, MATERIAL: Aço Inox, </w:t>
            </w:r>
            <w:r w:rsidRPr="00F967AD">
              <w:rPr>
                <w:rFonts w:ascii="Verdana" w:hAnsi="Verdana"/>
                <w:color w:val="000000"/>
              </w:rPr>
              <w:lastRenderedPageBreak/>
              <w:t>DIMENSÃO: Mínima de 28 X 30 cm, CARACTERÍSTICAS ADICIONAIS: Com capacidade mínina para 10 pratos, com espaço para copos e talheres, UNID. DE MEDIDA: Unitário</w:t>
            </w:r>
          </w:p>
        </w:tc>
        <w:tc>
          <w:tcPr>
            <w:tcW w:w="141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lastRenderedPageBreak/>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hAnsi="Verdana"/>
              </w:rPr>
              <w:t xml:space="preserve"> </w:t>
            </w:r>
            <w:r w:rsidR="00B90B7A" w:rsidRPr="00F967AD">
              <w:rPr>
                <w:rFonts w:ascii="Verdana" w:eastAsia="Arial" w:hAnsi="Verdana" w:cs="Arial"/>
              </w:rPr>
              <w:t>141,82</w:t>
            </w:r>
          </w:p>
        </w:tc>
        <w:tc>
          <w:tcPr>
            <w:tcW w:w="197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hAnsi="Verdana"/>
              </w:rPr>
              <w:t xml:space="preserve"> </w:t>
            </w:r>
            <w:r w:rsidR="00B90B7A" w:rsidRPr="00F967AD">
              <w:rPr>
                <w:rFonts w:ascii="Verdana" w:eastAsia="Arial" w:hAnsi="Verdana" w:cs="Arial"/>
              </w:rPr>
              <w:t>5.672,80</w:t>
            </w:r>
          </w:p>
        </w:tc>
      </w:tr>
      <w:tr w:rsidR="007359AC" w:rsidRPr="007359AC" w:rsidTr="00D97AA0">
        <w:trPr>
          <w:trHeight w:val="272"/>
        </w:trPr>
        <w:tc>
          <w:tcPr>
            <w:tcW w:w="426" w:type="dxa"/>
            <w:vMerge/>
          </w:tcPr>
          <w:p w:rsidR="007359AC" w:rsidRPr="00F967AD" w:rsidRDefault="007359AC" w:rsidP="007359AC">
            <w:pPr>
              <w:jc w:val="center"/>
              <w:rPr>
                <w:rFonts w:ascii="Verdana" w:eastAsia="Arial" w:hAnsi="Verdana" w:cs="Arial"/>
              </w:rPr>
            </w:pPr>
          </w:p>
        </w:tc>
        <w:tc>
          <w:tcPr>
            <w:tcW w:w="425" w:type="dxa"/>
            <w:tcBorders>
              <w:top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7</w:t>
            </w:r>
          </w:p>
        </w:tc>
        <w:tc>
          <w:tcPr>
            <w:tcW w:w="3544"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color w:val="000000"/>
              </w:rPr>
            </w:pPr>
            <w:r w:rsidRPr="00F967AD">
              <w:rPr>
                <w:rFonts w:ascii="Verdana" w:hAnsi="Verdana"/>
                <w:b/>
                <w:color w:val="000000"/>
              </w:rPr>
              <w:t>Chaleira</w:t>
            </w:r>
            <w:r w:rsidRPr="00F967AD">
              <w:rPr>
                <w:rFonts w:ascii="Verdana" w:hAnsi="Verdana"/>
                <w:color w:val="000000"/>
              </w:rPr>
              <w:t>, MATERIAL: Inox, CAPACIDADE: Mínima de 2 litros, CARACTERÍSTICAS ADICIONAIS: compatível com fogão de indução. UNID. DE MEDIDA: Unitário</w:t>
            </w:r>
          </w:p>
        </w:tc>
        <w:tc>
          <w:tcPr>
            <w:tcW w:w="141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80</w:t>
            </w:r>
          </w:p>
        </w:tc>
        <w:tc>
          <w:tcPr>
            <w:tcW w:w="1276"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hAnsi="Verdana"/>
              </w:rPr>
              <w:t xml:space="preserve"> </w:t>
            </w:r>
            <w:r w:rsidR="00B90B7A" w:rsidRPr="00F967AD">
              <w:rPr>
                <w:rFonts w:ascii="Verdana" w:eastAsia="Arial" w:hAnsi="Verdana" w:cs="Arial"/>
              </w:rPr>
              <w:t>175,04</w:t>
            </w:r>
          </w:p>
        </w:tc>
        <w:tc>
          <w:tcPr>
            <w:tcW w:w="197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hAnsi="Verdana"/>
              </w:rPr>
              <w:t xml:space="preserve"> </w:t>
            </w:r>
            <w:r w:rsidR="00B90B7A" w:rsidRPr="00F967AD">
              <w:rPr>
                <w:rFonts w:ascii="Verdana" w:eastAsia="Arial" w:hAnsi="Verdana" w:cs="Arial"/>
              </w:rPr>
              <w:t>14.003,20</w:t>
            </w:r>
          </w:p>
        </w:tc>
      </w:tr>
      <w:tr w:rsidR="007359AC" w:rsidRPr="007359AC" w:rsidTr="00D97AA0">
        <w:trPr>
          <w:trHeight w:val="272"/>
        </w:trPr>
        <w:tc>
          <w:tcPr>
            <w:tcW w:w="426" w:type="dxa"/>
            <w:vMerge/>
            <w:tcBorders>
              <w:bottom w:val="single" w:sz="4" w:space="0" w:color="000000"/>
            </w:tcBorders>
          </w:tcPr>
          <w:p w:rsidR="007359AC" w:rsidRPr="00F967AD" w:rsidRDefault="007359AC" w:rsidP="007359AC">
            <w:pPr>
              <w:jc w:val="center"/>
              <w:rPr>
                <w:rFonts w:ascii="Verdana" w:eastAsia="Arial" w:hAnsi="Verdana" w:cs="Arial"/>
              </w:rPr>
            </w:pPr>
          </w:p>
        </w:tc>
        <w:tc>
          <w:tcPr>
            <w:tcW w:w="425" w:type="dxa"/>
            <w:tcBorders>
              <w:top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8</w:t>
            </w:r>
          </w:p>
        </w:tc>
        <w:tc>
          <w:tcPr>
            <w:tcW w:w="3544"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color w:val="000000"/>
              </w:rPr>
            </w:pPr>
            <w:r w:rsidRPr="00F967AD">
              <w:rPr>
                <w:rFonts w:ascii="Verdana" w:hAnsi="Verdana"/>
                <w:b/>
                <w:color w:val="000000"/>
              </w:rPr>
              <w:t>Caneca Fervedor</w:t>
            </w:r>
            <w:r w:rsidRPr="00F967AD">
              <w:rPr>
                <w:rFonts w:ascii="Verdana" w:hAnsi="Verdana"/>
                <w:color w:val="000000"/>
              </w:rPr>
              <w:t>, MATERIAL: Inox, CAPACIDADE: Mínima de 2 litros, CARACTERÍSTICAS ADICIONAIS: compatível com fogão de indução. UNID. DE MEDIDA: Unitário</w:t>
            </w:r>
          </w:p>
        </w:tc>
        <w:tc>
          <w:tcPr>
            <w:tcW w:w="141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jc w:val="center"/>
              <w:rPr>
                <w:rFonts w:ascii="Verdana" w:eastAsia="Arial" w:hAnsi="Verdana" w:cs="Arial"/>
              </w:rPr>
            </w:pPr>
            <w:r w:rsidRPr="00F967AD">
              <w:rPr>
                <w:rFonts w:ascii="Verdana" w:eastAsia="Arial" w:hAnsi="Verdana" w:cs="Arial"/>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eastAsia="Arial" w:hAnsi="Verdana" w:cs="Arial"/>
              </w:rPr>
              <w:t xml:space="preserve"> 171,46</w:t>
            </w:r>
          </w:p>
        </w:tc>
        <w:tc>
          <w:tcPr>
            <w:tcW w:w="1977" w:type="dxa"/>
            <w:tcBorders>
              <w:top w:val="single" w:sz="4" w:space="0" w:color="000000"/>
              <w:left w:val="single" w:sz="4" w:space="0" w:color="000000"/>
              <w:bottom w:val="single" w:sz="4" w:space="0" w:color="000000"/>
              <w:right w:val="single" w:sz="4" w:space="0" w:color="000000"/>
            </w:tcBorders>
            <w:vAlign w:val="center"/>
          </w:tcPr>
          <w:p w:rsidR="007359AC" w:rsidRPr="00F967AD" w:rsidRDefault="007359AC" w:rsidP="007359AC">
            <w:pPr>
              <w:rPr>
                <w:rFonts w:ascii="Verdana" w:eastAsia="Arial" w:hAnsi="Verdana" w:cs="Arial"/>
              </w:rPr>
            </w:pPr>
            <w:r w:rsidRPr="00F967AD">
              <w:rPr>
                <w:rFonts w:ascii="Verdana" w:eastAsia="Arial" w:hAnsi="Verdana" w:cs="Arial"/>
              </w:rPr>
              <w:t>R$</w:t>
            </w:r>
            <w:r w:rsidR="00B90B7A" w:rsidRPr="00F967AD">
              <w:rPr>
                <w:rFonts w:ascii="Verdana" w:eastAsia="Arial" w:hAnsi="Verdana" w:cs="Arial"/>
              </w:rPr>
              <w:t xml:space="preserve"> 5.143,80</w:t>
            </w:r>
          </w:p>
        </w:tc>
      </w:tr>
      <w:tr w:rsidR="00B90B7A" w:rsidRPr="007359AC" w:rsidTr="00D97AA0">
        <w:trPr>
          <w:trHeight w:val="272"/>
        </w:trPr>
        <w:tc>
          <w:tcPr>
            <w:tcW w:w="7088" w:type="dxa"/>
            <w:gridSpan w:val="5"/>
            <w:tcBorders>
              <w:bottom w:val="single" w:sz="4" w:space="0" w:color="000000"/>
              <w:right w:val="single" w:sz="4" w:space="0" w:color="000000"/>
            </w:tcBorders>
          </w:tcPr>
          <w:p w:rsidR="00B90B7A" w:rsidRPr="00F967AD" w:rsidRDefault="00B90B7A" w:rsidP="00B90B7A">
            <w:pPr>
              <w:tabs>
                <w:tab w:val="left" w:pos="1128"/>
              </w:tabs>
              <w:rPr>
                <w:rFonts w:ascii="Verdana" w:eastAsia="Arial" w:hAnsi="Verdana" w:cs="Arial"/>
                <w:b/>
              </w:rPr>
            </w:pPr>
            <w:r w:rsidRPr="00F967AD">
              <w:rPr>
                <w:rFonts w:ascii="Verdana" w:eastAsia="Arial" w:hAnsi="Verdana" w:cs="Arial"/>
                <w:b/>
              </w:rPr>
              <w:tab/>
            </w:r>
            <w:r w:rsidR="00F967AD" w:rsidRPr="00F967AD">
              <w:rPr>
                <w:rFonts w:ascii="Verdana" w:eastAsia="Arial" w:hAnsi="Verdana" w:cs="Arial"/>
                <w:b/>
              </w:rPr>
              <w:t xml:space="preserve">VALOR MÁXIMO DO LOTE </w:t>
            </w:r>
          </w:p>
        </w:tc>
        <w:tc>
          <w:tcPr>
            <w:tcW w:w="1977" w:type="dxa"/>
            <w:tcBorders>
              <w:top w:val="single" w:sz="4" w:space="0" w:color="000000"/>
              <w:left w:val="single" w:sz="4" w:space="0" w:color="000000"/>
              <w:bottom w:val="single" w:sz="4" w:space="0" w:color="000000"/>
              <w:right w:val="single" w:sz="4" w:space="0" w:color="000000"/>
            </w:tcBorders>
            <w:vAlign w:val="center"/>
          </w:tcPr>
          <w:p w:rsidR="00B90B7A" w:rsidRPr="00F967AD" w:rsidRDefault="00F967AD" w:rsidP="007359AC">
            <w:pPr>
              <w:rPr>
                <w:rFonts w:ascii="Verdana" w:eastAsia="Arial" w:hAnsi="Verdana" w:cs="Arial"/>
                <w:b/>
              </w:rPr>
            </w:pPr>
            <w:r w:rsidRPr="00F967AD">
              <w:rPr>
                <w:rFonts w:ascii="Verdana" w:hAnsi="Verdana" w:cs="Arial"/>
                <w:b/>
              </w:rPr>
              <w:t>R$ 43.578,00</w:t>
            </w:r>
            <w:r w:rsidR="00D97AA0">
              <w:rPr>
                <w:rFonts w:ascii="Verdana" w:hAnsi="Verdana" w:cs="Arial"/>
                <w:b/>
              </w:rPr>
              <w:t>*</w:t>
            </w:r>
          </w:p>
        </w:tc>
      </w:tr>
    </w:tbl>
    <w:p w:rsidR="007359AC" w:rsidRPr="00D97AA0" w:rsidRDefault="00D97AA0" w:rsidP="007359AC">
      <w:pPr>
        <w:pBdr>
          <w:top w:val="nil"/>
          <w:left w:val="nil"/>
          <w:bottom w:val="nil"/>
          <w:right w:val="nil"/>
          <w:between w:val="nil"/>
        </w:pBdr>
        <w:jc w:val="both"/>
        <w:rPr>
          <w:rFonts w:ascii="Verdana" w:eastAsia="Arial" w:hAnsi="Verdana" w:cs="Arial"/>
          <w:sz w:val="16"/>
          <w:szCs w:val="16"/>
        </w:rPr>
      </w:pPr>
      <w:r w:rsidRPr="00F87C25">
        <w:rPr>
          <w:rFonts w:ascii="Verdana" w:eastAsia="Arial" w:hAnsi="Verdana" w:cs="Arial"/>
          <w:color w:val="000000" w:themeColor="text1"/>
          <w:sz w:val="16"/>
          <w:szCs w:val="16"/>
        </w:rPr>
        <w:t>*Este é o valor que deverá nortear os lances dos licitantes, conforme item 10.2 do Edital.</w:t>
      </w:r>
      <w:r w:rsidRPr="00D97AA0">
        <w:rPr>
          <w:rFonts w:ascii="Verdana" w:eastAsia="Arial" w:hAnsi="Verdana" w:cs="Arial"/>
          <w:sz w:val="16"/>
          <w:szCs w:val="16"/>
        </w:rPr>
        <w:tab/>
      </w:r>
    </w:p>
    <w:p w:rsidR="00D97AA0" w:rsidRPr="007359AC" w:rsidRDefault="00D97AA0" w:rsidP="007359AC">
      <w:pPr>
        <w:pBdr>
          <w:top w:val="nil"/>
          <w:left w:val="nil"/>
          <w:bottom w:val="nil"/>
          <w:right w:val="nil"/>
          <w:between w:val="nil"/>
        </w:pBdr>
        <w:jc w:val="both"/>
        <w:rPr>
          <w:rFonts w:ascii="Verdana" w:eastAsia="Arial" w:hAnsi="Verdana" w:cs="Arial"/>
        </w:rPr>
      </w:pPr>
    </w:p>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ESTIMATIVA DO VALOR DA AQUISIÇÃO</w:t>
      </w:r>
    </w:p>
    <w:p w:rsidR="007359AC" w:rsidRPr="007359AC" w:rsidRDefault="007359AC" w:rsidP="007359AC">
      <w:pPr>
        <w:pBdr>
          <w:top w:val="nil"/>
          <w:left w:val="nil"/>
          <w:bottom w:val="nil"/>
          <w:right w:val="nil"/>
          <w:between w:val="nil"/>
        </w:pBdr>
        <w:ind w:left="284"/>
        <w:jc w:val="both"/>
        <w:rPr>
          <w:rFonts w:ascii="Verdana" w:eastAsia="Arial" w:hAnsi="Verdana" w:cs="Arial"/>
          <w:b/>
        </w:rPr>
      </w:pPr>
    </w:p>
    <w:tbl>
      <w:tblPr>
        <w:tblW w:w="9271" w:type="dxa"/>
        <w:tblInd w:w="-40" w:type="dxa"/>
        <w:tblCellMar>
          <w:left w:w="70" w:type="dxa"/>
          <w:right w:w="70" w:type="dxa"/>
        </w:tblCellMar>
        <w:tblLook w:val="04A0" w:firstRow="1" w:lastRow="0" w:firstColumn="1" w:lastColumn="0" w:noHBand="0" w:noVBand="1"/>
      </w:tblPr>
      <w:tblGrid>
        <w:gridCol w:w="711"/>
        <w:gridCol w:w="890"/>
        <w:gridCol w:w="3112"/>
        <w:gridCol w:w="2126"/>
        <w:gridCol w:w="2432"/>
      </w:tblGrid>
      <w:tr w:rsidR="007359AC" w:rsidRPr="007359AC" w:rsidTr="00120304">
        <w:trPr>
          <w:trHeight w:val="300"/>
        </w:trPr>
        <w:tc>
          <w:tcPr>
            <w:tcW w:w="71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7359AC" w:rsidRPr="007359AC" w:rsidRDefault="007359AC" w:rsidP="007359AC">
            <w:pPr>
              <w:jc w:val="center"/>
              <w:rPr>
                <w:rFonts w:ascii="Verdana" w:hAnsi="Verdana"/>
                <w:b/>
                <w:bCs/>
                <w:color w:val="000000"/>
              </w:rPr>
            </w:pPr>
            <w:r w:rsidRPr="007359AC">
              <w:rPr>
                <w:rFonts w:ascii="Verdana" w:hAnsi="Verdana"/>
                <w:b/>
                <w:bCs/>
                <w:color w:val="000000"/>
              </w:rPr>
              <w:t>LOTE</w:t>
            </w:r>
          </w:p>
        </w:tc>
        <w:tc>
          <w:tcPr>
            <w:tcW w:w="890" w:type="dxa"/>
            <w:tcBorders>
              <w:top w:val="single" w:sz="4" w:space="0" w:color="auto"/>
              <w:left w:val="nil"/>
              <w:bottom w:val="single" w:sz="4" w:space="0" w:color="auto"/>
              <w:right w:val="single" w:sz="4" w:space="0" w:color="auto"/>
            </w:tcBorders>
            <w:shd w:val="clear" w:color="000000" w:fill="A6A6A6"/>
            <w:noWrap/>
            <w:vAlign w:val="bottom"/>
            <w:hideMark/>
          </w:tcPr>
          <w:p w:rsidR="007359AC" w:rsidRPr="007359AC" w:rsidRDefault="007359AC" w:rsidP="007359AC">
            <w:pPr>
              <w:jc w:val="center"/>
              <w:rPr>
                <w:rFonts w:ascii="Verdana" w:hAnsi="Verdana"/>
                <w:b/>
                <w:bCs/>
                <w:color w:val="000000"/>
              </w:rPr>
            </w:pPr>
            <w:r w:rsidRPr="007359AC">
              <w:rPr>
                <w:rFonts w:ascii="Verdana" w:hAnsi="Verdana"/>
                <w:b/>
                <w:bCs/>
                <w:color w:val="000000"/>
              </w:rPr>
              <w:t>QTDE</w:t>
            </w:r>
          </w:p>
        </w:tc>
        <w:tc>
          <w:tcPr>
            <w:tcW w:w="3112" w:type="dxa"/>
            <w:tcBorders>
              <w:top w:val="single" w:sz="4" w:space="0" w:color="auto"/>
              <w:left w:val="nil"/>
              <w:bottom w:val="single" w:sz="4" w:space="0" w:color="auto"/>
              <w:right w:val="single" w:sz="4" w:space="0" w:color="auto"/>
            </w:tcBorders>
            <w:shd w:val="clear" w:color="000000" w:fill="A6A6A6"/>
            <w:noWrap/>
            <w:vAlign w:val="bottom"/>
            <w:hideMark/>
          </w:tcPr>
          <w:p w:rsidR="007359AC" w:rsidRPr="007359AC" w:rsidRDefault="007359AC" w:rsidP="007359AC">
            <w:pPr>
              <w:jc w:val="center"/>
              <w:rPr>
                <w:rFonts w:ascii="Verdana" w:hAnsi="Verdana"/>
                <w:b/>
                <w:bCs/>
                <w:color w:val="000000"/>
              </w:rPr>
            </w:pPr>
            <w:r w:rsidRPr="007359AC">
              <w:rPr>
                <w:rFonts w:ascii="Verdana" w:hAnsi="Verdana"/>
                <w:b/>
                <w:bCs/>
                <w:color w:val="000000"/>
              </w:rPr>
              <w:t>DESCRIÇÃO</w:t>
            </w:r>
          </w:p>
        </w:tc>
        <w:tc>
          <w:tcPr>
            <w:tcW w:w="2126" w:type="dxa"/>
            <w:tcBorders>
              <w:top w:val="single" w:sz="4" w:space="0" w:color="auto"/>
              <w:left w:val="nil"/>
              <w:bottom w:val="single" w:sz="4" w:space="0" w:color="auto"/>
              <w:right w:val="single" w:sz="4" w:space="0" w:color="auto"/>
            </w:tcBorders>
            <w:shd w:val="clear" w:color="000000" w:fill="A6A6A6"/>
            <w:noWrap/>
            <w:vAlign w:val="bottom"/>
            <w:hideMark/>
          </w:tcPr>
          <w:p w:rsidR="007359AC" w:rsidRPr="007359AC" w:rsidRDefault="007359AC" w:rsidP="007359AC">
            <w:pPr>
              <w:jc w:val="center"/>
              <w:rPr>
                <w:rFonts w:ascii="Verdana" w:hAnsi="Verdana"/>
                <w:b/>
                <w:bCs/>
                <w:color w:val="000000"/>
              </w:rPr>
            </w:pPr>
            <w:r w:rsidRPr="007359AC">
              <w:rPr>
                <w:rFonts w:ascii="Verdana" w:hAnsi="Verdana"/>
                <w:b/>
                <w:bCs/>
                <w:color w:val="000000"/>
              </w:rPr>
              <w:t>PREÇO UNIT</w:t>
            </w:r>
          </w:p>
        </w:tc>
        <w:tc>
          <w:tcPr>
            <w:tcW w:w="2432" w:type="dxa"/>
            <w:tcBorders>
              <w:top w:val="single" w:sz="4" w:space="0" w:color="auto"/>
              <w:left w:val="nil"/>
              <w:bottom w:val="single" w:sz="4" w:space="0" w:color="auto"/>
              <w:right w:val="single" w:sz="4" w:space="0" w:color="auto"/>
            </w:tcBorders>
            <w:shd w:val="clear" w:color="000000" w:fill="A6A6A6"/>
            <w:noWrap/>
            <w:vAlign w:val="bottom"/>
            <w:hideMark/>
          </w:tcPr>
          <w:p w:rsidR="007359AC" w:rsidRPr="007359AC" w:rsidRDefault="007359AC" w:rsidP="007359AC">
            <w:pPr>
              <w:jc w:val="center"/>
              <w:rPr>
                <w:rFonts w:ascii="Verdana" w:hAnsi="Verdana"/>
                <w:b/>
                <w:bCs/>
                <w:color w:val="000000"/>
              </w:rPr>
            </w:pPr>
            <w:r w:rsidRPr="007359AC">
              <w:rPr>
                <w:rFonts w:ascii="Verdana" w:hAnsi="Verdana"/>
                <w:b/>
                <w:bCs/>
                <w:color w:val="000000"/>
              </w:rPr>
              <w:t>MÉDIA FINAL</w:t>
            </w:r>
          </w:p>
        </w:tc>
      </w:tr>
      <w:tr w:rsidR="007359AC" w:rsidRPr="007359AC" w:rsidTr="00120304">
        <w:trPr>
          <w:trHeight w:val="3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1</w:t>
            </w:r>
          </w:p>
        </w:tc>
        <w:tc>
          <w:tcPr>
            <w:tcW w:w="890"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80</w:t>
            </w:r>
          </w:p>
        </w:tc>
        <w:tc>
          <w:tcPr>
            <w:tcW w:w="311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b/>
                <w:bCs/>
                <w:color w:val="000000"/>
              </w:rPr>
            </w:pPr>
            <w:r w:rsidRPr="007359AC">
              <w:rPr>
                <w:rFonts w:ascii="Verdana" w:hAnsi="Verdana"/>
                <w:b/>
                <w:bCs/>
                <w:color w:val="000000"/>
              </w:rPr>
              <w:t>Porta Guardanapo de Mesa, FORMATO: Meia Lua,</w:t>
            </w:r>
          </w:p>
        </w:tc>
        <w:tc>
          <w:tcPr>
            <w:tcW w:w="2126"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20,84</w:t>
            </w:r>
          </w:p>
        </w:tc>
        <w:tc>
          <w:tcPr>
            <w:tcW w:w="243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1.667,20</w:t>
            </w:r>
          </w:p>
        </w:tc>
      </w:tr>
      <w:tr w:rsidR="007359AC" w:rsidRPr="007359AC" w:rsidTr="00120304">
        <w:trPr>
          <w:trHeight w:val="3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2</w:t>
            </w:r>
          </w:p>
        </w:tc>
        <w:tc>
          <w:tcPr>
            <w:tcW w:w="890"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300</w:t>
            </w:r>
          </w:p>
        </w:tc>
        <w:tc>
          <w:tcPr>
            <w:tcW w:w="311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b/>
                <w:bCs/>
                <w:color w:val="000000"/>
              </w:rPr>
            </w:pPr>
            <w:r w:rsidRPr="007359AC">
              <w:rPr>
                <w:rFonts w:ascii="Verdana" w:hAnsi="Verdana"/>
                <w:b/>
                <w:bCs/>
                <w:color w:val="000000"/>
              </w:rPr>
              <w:t>Colher de mesa</w:t>
            </w:r>
          </w:p>
        </w:tc>
        <w:tc>
          <w:tcPr>
            <w:tcW w:w="2126"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9,76</w:t>
            </w:r>
          </w:p>
        </w:tc>
        <w:tc>
          <w:tcPr>
            <w:tcW w:w="243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2.928,00</w:t>
            </w:r>
          </w:p>
        </w:tc>
      </w:tr>
      <w:tr w:rsidR="007359AC" w:rsidRPr="007359AC" w:rsidTr="00120304">
        <w:trPr>
          <w:trHeight w:val="3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3</w:t>
            </w:r>
          </w:p>
        </w:tc>
        <w:tc>
          <w:tcPr>
            <w:tcW w:w="890"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300</w:t>
            </w:r>
          </w:p>
        </w:tc>
        <w:tc>
          <w:tcPr>
            <w:tcW w:w="311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b/>
                <w:bCs/>
                <w:color w:val="000000"/>
              </w:rPr>
            </w:pPr>
            <w:r w:rsidRPr="007359AC">
              <w:rPr>
                <w:rFonts w:ascii="Verdana" w:hAnsi="Verdana"/>
                <w:b/>
                <w:bCs/>
                <w:color w:val="000000"/>
              </w:rPr>
              <w:t>Faca de mesa</w:t>
            </w:r>
          </w:p>
        </w:tc>
        <w:tc>
          <w:tcPr>
            <w:tcW w:w="2126"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12,66</w:t>
            </w:r>
          </w:p>
        </w:tc>
        <w:tc>
          <w:tcPr>
            <w:tcW w:w="243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3.798,00</w:t>
            </w:r>
          </w:p>
        </w:tc>
      </w:tr>
      <w:tr w:rsidR="007359AC" w:rsidRPr="007359AC" w:rsidTr="00120304">
        <w:trPr>
          <w:trHeight w:val="3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4</w:t>
            </w:r>
          </w:p>
        </w:tc>
        <w:tc>
          <w:tcPr>
            <w:tcW w:w="890"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300</w:t>
            </w:r>
          </w:p>
        </w:tc>
        <w:tc>
          <w:tcPr>
            <w:tcW w:w="311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b/>
                <w:bCs/>
                <w:color w:val="000000"/>
              </w:rPr>
            </w:pPr>
            <w:r w:rsidRPr="007359AC">
              <w:rPr>
                <w:rFonts w:ascii="Verdana" w:hAnsi="Verdana"/>
                <w:b/>
                <w:bCs/>
                <w:color w:val="000000"/>
              </w:rPr>
              <w:t>Garfo de mesa</w:t>
            </w:r>
          </w:p>
        </w:tc>
        <w:tc>
          <w:tcPr>
            <w:tcW w:w="2126"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8,99</w:t>
            </w:r>
          </w:p>
        </w:tc>
        <w:tc>
          <w:tcPr>
            <w:tcW w:w="243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2.697,00</w:t>
            </w:r>
          </w:p>
        </w:tc>
      </w:tr>
      <w:tr w:rsidR="007359AC" w:rsidRPr="007359AC" w:rsidTr="00120304">
        <w:trPr>
          <w:trHeight w:val="3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5</w:t>
            </w:r>
          </w:p>
        </w:tc>
        <w:tc>
          <w:tcPr>
            <w:tcW w:w="890"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80</w:t>
            </w:r>
          </w:p>
        </w:tc>
        <w:tc>
          <w:tcPr>
            <w:tcW w:w="311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b/>
                <w:bCs/>
                <w:color w:val="000000"/>
              </w:rPr>
            </w:pPr>
            <w:r w:rsidRPr="007359AC">
              <w:rPr>
                <w:rFonts w:ascii="Verdana" w:hAnsi="Verdana"/>
                <w:b/>
                <w:bCs/>
                <w:color w:val="000000"/>
              </w:rPr>
              <w:t>Bandeja</w:t>
            </w:r>
          </w:p>
        </w:tc>
        <w:tc>
          <w:tcPr>
            <w:tcW w:w="2126"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95,85</w:t>
            </w:r>
          </w:p>
        </w:tc>
        <w:tc>
          <w:tcPr>
            <w:tcW w:w="243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7.668,00</w:t>
            </w:r>
          </w:p>
        </w:tc>
      </w:tr>
      <w:tr w:rsidR="007359AC" w:rsidRPr="007359AC" w:rsidTr="00120304">
        <w:trPr>
          <w:trHeight w:val="3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6</w:t>
            </w:r>
          </w:p>
        </w:tc>
        <w:tc>
          <w:tcPr>
            <w:tcW w:w="890"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40</w:t>
            </w:r>
          </w:p>
        </w:tc>
        <w:tc>
          <w:tcPr>
            <w:tcW w:w="311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b/>
                <w:bCs/>
                <w:color w:val="000000"/>
              </w:rPr>
            </w:pPr>
            <w:r w:rsidRPr="007359AC">
              <w:rPr>
                <w:rFonts w:ascii="Verdana" w:hAnsi="Verdana"/>
                <w:b/>
                <w:bCs/>
                <w:color w:val="000000"/>
              </w:rPr>
              <w:t>Escorredor de Louça</w:t>
            </w:r>
          </w:p>
        </w:tc>
        <w:tc>
          <w:tcPr>
            <w:tcW w:w="2126"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141,82</w:t>
            </w:r>
          </w:p>
        </w:tc>
        <w:tc>
          <w:tcPr>
            <w:tcW w:w="243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5.672,80</w:t>
            </w:r>
          </w:p>
        </w:tc>
      </w:tr>
      <w:tr w:rsidR="007359AC" w:rsidRPr="007359AC" w:rsidTr="00120304">
        <w:trPr>
          <w:trHeight w:val="3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7</w:t>
            </w:r>
          </w:p>
        </w:tc>
        <w:tc>
          <w:tcPr>
            <w:tcW w:w="890"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80</w:t>
            </w:r>
          </w:p>
        </w:tc>
        <w:tc>
          <w:tcPr>
            <w:tcW w:w="311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b/>
                <w:bCs/>
                <w:color w:val="000000"/>
              </w:rPr>
            </w:pPr>
            <w:r w:rsidRPr="007359AC">
              <w:rPr>
                <w:rFonts w:ascii="Verdana" w:hAnsi="Verdana"/>
                <w:b/>
                <w:bCs/>
                <w:color w:val="000000"/>
              </w:rPr>
              <w:t>Chaleira</w:t>
            </w:r>
          </w:p>
        </w:tc>
        <w:tc>
          <w:tcPr>
            <w:tcW w:w="2126"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175,04</w:t>
            </w:r>
          </w:p>
        </w:tc>
        <w:tc>
          <w:tcPr>
            <w:tcW w:w="2432" w:type="dxa"/>
            <w:tcBorders>
              <w:top w:val="nil"/>
              <w:left w:val="nil"/>
              <w:bottom w:val="single" w:sz="4" w:space="0" w:color="auto"/>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14.003,20</w:t>
            </w:r>
          </w:p>
        </w:tc>
      </w:tr>
      <w:tr w:rsidR="007359AC" w:rsidRPr="007359AC" w:rsidTr="00120304">
        <w:trPr>
          <w:trHeight w:val="315"/>
        </w:trPr>
        <w:tc>
          <w:tcPr>
            <w:tcW w:w="711" w:type="dxa"/>
            <w:tcBorders>
              <w:top w:val="nil"/>
              <w:left w:val="single" w:sz="4" w:space="0" w:color="auto"/>
              <w:bottom w:val="nil"/>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8</w:t>
            </w:r>
          </w:p>
        </w:tc>
        <w:tc>
          <w:tcPr>
            <w:tcW w:w="890" w:type="dxa"/>
            <w:tcBorders>
              <w:top w:val="nil"/>
              <w:left w:val="nil"/>
              <w:bottom w:val="nil"/>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30</w:t>
            </w:r>
          </w:p>
        </w:tc>
        <w:tc>
          <w:tcPr>
            <w:tcW w:w="3112" w:type="dxa"/>
            <w:tcBorders>
              <w:top w:val="nil"/>
              <w:left w:val="nil"/>
              <w:bottom w:val="nil"/>
              <w:right w:val="single" w:sz="4" w:space="0" w:color="auto"/>
            </w:tcBorders>
            <w:shd w:val="clear" w:color="auto" w:fill="auto"/>
            <w:noWrap/>
            <w:vAlign w:val="center"/>
            <w:hideMark/>
          </w:tcPr>
          <w:p w:rsidR="007359AC" w:rsidRPr="007359AC" w:rsidRDefault="007359AC" w:rsidP="00120304">
            <w:pPr>
              <w:jc w:val="center"/>
              <w:rPr>
                <w:rFonts w:ascii="Verdana" w:hAnsi="Verdana"/>
                <w:b/>
                <w:bCs/>
                <w:color w:val="000000"/>
              </w:rPr>
            </w:pPr>
            <w:r w:rsidRPr="007359AC">
              <w:rPr>
                <w:rFonts w:ascii="Verdana" w:hAnsi="Verdana"/>
                <w:b/>
                <w:bCs/>
                <w:color w:val="000000"/>
              </w:rPr>
              <w:t>Caneca Fervedor</w:t>
            </w:r>
          </w:p>
        </w:tc>
        <w:tc>
          <w:tcPr>
            <w:tcW w:w="2126" w:type="dxa"/>
            <w:tcBorders>
              <w:top w:val="nil"/>
              <w:left w:val="nil"/>
              <w:bottom w:val="nil"/>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171,46</w:t>
            </w:r>
          </w:p>
        </w:tc>
        <w:tc>
          <w:tcPr>
            <w:tcW w:w="2432" w:type="dxa"/>
            <w:tcBorders>
              <w:top w:val="nil"/>
              <w:left w:val="nil"/>
              <w:bottom w:val="nil"/>
              <w:right w:val="single" w:sz="4" w:space="0" w:color="auto"/>
            </w:tcBorders>
            <w:shd w:val="clear" w:color="auto" w:fill="auto"/>
            <w:noWrap/>
            <w:vAlign w:val="center"/>
            <w:hideMark/>
          </w:tcPr>
          <w:p w:rsidR="007359AC" w:rsidRPr="007359AC" w:rsidRDefault="007359AC" w:rsidP="00120304">
            <w:pPr>
              <w:jc w:val="center"/>
              <w:rPr>
                <w:rFonts w:ascii="Verdana" w:hAnsi="Verdana"/>
                <w:color w:val="000000"/>
              </w:rPr>
            </w:pPr>
            <w:r w:rsidRPr="007359AC">
              <w:rPr>
                <w:rFonts w:ascii="Verdana" w:hAnsi="Verdana"/>
                <w:color w:val="000000"/>
              </w:rPr>
              <w:t>R$    5.143,80</w:t>
            </w:r>
          </w:p>
        </w:tc>
      </w:tr>
      <w:tr w:rsidR="007359AC" w:rsidRPr="007359AC" w:rsidTr="00120304">
        <w:trPr>
          <w:trHeight w:val="315"/>
        </w:trPr>
        <w:tc>
          <w:tcPr>
            <w:tcW w:w="711" w:type="dxa"/>
            <w:tcBorders>
              <w:top w:val="single" w:sz="8" w:space="0" w:color="auto"/>
              <w:left w:val="single" w:sz="8" w:space="0" w:color="auto"/>
              <w:bottom w:val="single" w:sz="8" w:space="0" w:color="auto"/>
              <w:right w:val="nil"/>
            </w:tcBorders>
            <w:shd w:val="clear" w:color="000000" w:fill="D9D9D9"/>
            <w:noWrap/>
            <w:vAlign w:val="center"/>
            <w:hideMark/>
          </w:tcPr>
          <w:p w:rsidR="007359AC" w:rsidRPr="007359AC" w:rsidRDefault="007359AC" w:rsidP="00120304">
            <w:pPr>
              <w:jc w:val="center"/>
              <w:rPr>
                <w:rFonts w:ascii="Verdana" w:hAnsi="Verdana"/>
                <w:b/>
                <w:bCs/>
                <w:color w:val="000000"/>
              </w:rPr>
            </w:pPr>
          </w:p>
        </w:tc>
        <w:tc>
          <w:tcPr>
            <w:tcW w:w="890" w:type="dxa"/>
            <w:tcBorders>
              <w:top w:val="single" w:sz="8" w:space="0" w:color="auto"/>
              <w:left w:val="nil"/>
              <w:bottom w:val="single" w:sz="8" w:space="0" w:color="auto"/>
              <w:right w:val="nil"/>
            </w:tcBorders>
            <w:shd w:val="clear" w:color="000000" w:fill="D9D9D9"/>
            <w:noWrap/>
            <w:vAlign w:val="center"/>
            <w:hideMark/>
          </w:tcPr>
          <w:p w:rsidR="007359AC" w:rsidRPr="007359AC" w:rsidRDefault="007359AC" w:rsidP="00120304">
            <w:pPr>
              <w:jc w:val="center"/>
              <w:rPr>
                <w:rFonts w:ascii="Verdana" w:hAnsi="Verdana"/>
                <w:b/>
                <w:bCs/>
                <w:color w:val="000000"/>
              </w:rPr>
            </w:pPr>
          </w:p>
        </w:tc>
        <w:tc>
          <w:tcPr>
            <w:tcW w:w="3112" w:type="dxa"/>
            <w:tcBorders>
              <w:top w:val="single" w:sz="8" w:space="0" w:color="auto"/>
              <w:left w:val="nil"/>
              <w:bottom w:val="single" w:sz="8" w:space="0" w:color="auto"/>
              <w:right w:val="nil"/>
            </w:tcBorders>
            <w:shd w:val="clear" w:color="000000" w:fill="D9D9D9"/>
            <w:noWrap/>
            <w:vAlign w:val="center"/>
            <w:hideMark/>
          </w:tcPr>
          <w:p w:rsidR="007359AC" w:rsidRPr="007359AC" w:rsidRDefault="007359AC" w:rsidP="00120304">
            <w:pPr>
              <w:jc w:val="center"/>
              <w:rPr>
                <w:rFonts w:ascii="Verdana" w:hAnsi="Verdana"/>
                <w:b/>
                <w:bCs/>
                <w:color w:val="000000"/>
              </w:rPr>
            </w:pPr>
          </w:p>
        </w:tc>
        <w:tc>
          <w:tcPr>
            <w:tcW w:w="2126" w:type="dxa"/>
            <w:tcBorders>
              <w:top w:val="single" w:sz="8" w:space="0" w:color="auto"/>
              <w:left w:val="nil"/>
              <w:bottom w:val="single" w:sz="8" w:space="0" w:color="auto"/>
              <w:right w:val="nil"/>
            </w:tcBorders>
            <w:shd w:val="clear" w:color="000000" w:fill="D9D9D9"/>
            <w:noWrap/>
            <w:vAlign w:val="center"/>
            <w:hideMark/>
          </w:tcPr>
          <w:p w:rsidR="007359AC" w:rsidRPr="007359AC" w:rsidRDefault="007359AC" w:rsidP="00120304">
            <w:pPr>
              <w:jc w:val="center"/>
              <w:rPr>
                <w:rFonts w:ascii="Verdana" w:hAnsi="Verdana"/>
                <w:b/>
                <w:bCs/>
                <w:color w:val="000000"/>
              </w:rPr>
            </w:pPr>
          </w:p>
        </w:tc>
        <w:tc>
          <w:tcPr>
            <w:tcW w:w="2432" w:type="dxa"/>
            <w:tcBorders>
              <w:top w:val="single" w:sz="8" w:space="0" w:color="auto"/>
              <w:left w:val="nil"/>
              <w:bottom w:val="single" w:sz="8" w:space="0" w:color="auto"/>
              <w:right w:val="single" w:sz="8" w:space="0" w:color="auto"/>
            </w:tcBorders>
            <w:shd w:val="clear" w:color="000000" w:fill="D9D9D9"/>
            <w:noWrap/>
            <w:vAlign w:val="center"/>
            <w:hideMark/>
          </w:tcPr>
          <w:p w:rsidR="007359AC" w:rsidRPr="007359AC" w:rsidRDefault="007359AC" w:rsidP="00120304">
            <w:pPr>
              <w:jc w:val="center"/>
              <w:rPr>
                <w:rFonts w:ascii="Verdana" w:hAnsi="Verdana"/>
                <w:b/>
                <w:bCs/>
                <w:color w:val="000000"/>
              </w:rPr>
            </w:pPr>
            <w:r w:rsidRPr="007359AC">
              <w:rPr>
                <w:rFonts w:ascii="Verdana" w:hAnsi="Verdana"/>
                <w:b/>
                <w:bCs/>
                <w:color w:val="000000"/>
              </w:rPr>
              <w:t>R$  43.578,00</w:t>
            </w:r>
          </w:p>
        </w:tc>
      </w:tr>
      <w:tr w:rsidR="007359AC" w:rsidRPr="007359AC" w:rsidTr="00120304">
        <w:trPr>
          <w:trHeight w:val="300"/>
        </w:trPr>
        <w:tc>
          <w:tcPr>
            <w:tcW w:w="711" w:type="dxa"/>
            <w:tcBorders>
              <w:top w:val="nil"/>
              <w:left w:val="nil"/>
              <w:bottom w:val="nil"/>
              <w:right w:val="nil"/>
            </w:tcBorders>
            <w:shd w:val="clear" w:color="auto" w:fill="auto"/>
            <w:noWrap/>
            <w:vAlign w:val="bottom"/>
            <w:hideMark/>
          </w:tcPr>
          <w:p w:rsidR="007359AC" w:rsidRPr="007359AC" w:rsidRDefault="007359AC" w:rsidP="007359AC">
            <w:pPr>
              <w:rPr>
                <w:rFonts w:ascii="Verdana" w:hAnsi="Verdana"/>
                <w:b/>
                <w:bCs/>
                <w:color w:val="000000"/>
              </w:rPr>
            </w:pPr>
          </w:p>
        </w:tc>
        <w:tc>
          <w:tcPr>
            <w:tcW w:w="890" w:type="dxa"/>
            <w:tcBorders>
              <w:top w:val="nil"/>
              <w:left w:val="nil"/>
              <w:bottom w:val="nil"/>
              <w:right w:val="nil"/>
            </w:tcBorders>
            <w:shd w:val="clear" w:color="auto" w:fill="auto"/>
            <w:noWrap/>
            <w:vAlign w:val="bottom"/>
            <w:hideMark/>
          </w:tcPr>
          <w:p w:rsidR="007359AC" w:rsidRPr="007359AC" w:rsidRDefault="007359AC" w:rsidP="007359AC">
            <w:pPr>
              <w:rPr>
                <w:rFonts w:ascii="Verdana" w:hAnsi="Verdana"/>
              </w:rPr>
            </w:pPr>
          </w:p>
        </w:tc>
        <w:tc>
          <w:tcPr>
            <w:tcW w:w="3112" w:type="dxa"/>
            <w:tcBorders>
              <w:top w:val="nil"/>
              <w:left w:val="nil"/>
              <w:bottom w:val="nil"/>
              <w:right w:val="nil"/>
            </w:tcBorders>
            <w:shd w:val="clear" w:color="auto" w:fill="auto"/>
            <w:noWrap/>
            <w:vAlign w:val="bottom"/>
            <w:hideMark/>
          </w:tcPr>
          <w:p w:rsidR="007359AC" w:rsidRPr="007359AC" w:rsidRDefault="007359AC" w:rsidP="007359AC">
            <w:pPr>
              <w:rPr>
                <w:rFonts w:ascii="Verdana" w:hAnsi="Verdana"/>
              </w:rPr>
            </w:pPr>
          </w:p>
        </w:tc>
        <w:tc>
          <w:tcPr>
            <w:tcW w:w="2126" w:type="dxa"/>
            <w:tcBorders>
              <w:top w:val="nil"/>
              <w:left w:val="nil"/>
              <w:bottom w:val="nil"/>
              <w:right w:val="nil"/>
            </w:tcBorders>
            <w:shd w:val="clear" w:color="auto" w:fill="auto"/>
            <w:noWrap/>
            <w:vAlign w:val="bottom"/>
            <w:hideMark/>
          </w:tcPr>
          <w:p w:rsidR="007359AC" w:rsidRPr="007359AC" w:rsidRDefault="007359AC" w:rsidP="007359AC">
            <w:pPr>
              <w:rPr>
                <w:rFonts w:ascii="Verdana" w:hAnsi="Verdana"/>
              </w:rPr>
            </w:pPr>
          </w:p>
        </w:tc>
        <w:tc>
          <w:tcPr>
            <w:tcW w:w="2432" w:type="dxa"/>
            <w:tcBorders>
              <w:top w:val="nil"/>
              <w:left w:val="nil"/>
              <w:bottom w:val="nil"/>
              <w:right w:val="nil"/>
            </w:tcBorders>
            <w:shd w:val="clear" w:color="auto" w:fill="auto"/>
            <w:noWrap/>
            <w:vAlign w:val="bottom"/>
            <w:hideMark/>
          </w:tcPr>
          <w:p w:rsidR="007359AC" w:rsidRPr="007359AC" w:rsidRDefault="007359AC" w:rsidP="007359AC">
            <w:pPr>
              <w:rPr>
                <w:rFonts w:ascii="Verdana" w:hAnsi="Verdana"/>
              </w:rPr>
            </w:pPr>
          </w:p>
        </w:tc>
      </w:tr>
    </w:tbl>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 xml:space="preserve">DAS CONDIÇÕES GERAIS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Os produtos fornecidos devem ser novos, de primeiro uso, sem a presença de vícios e entregues em embalagens lacradas, em endereço a ser indicado na Ordem de Fornecimento, sem custo adicional para a DPE/PR.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Não serão aceitos produtos em desacordo com as especificações técnicas contidas neste Termo de Referência, salvo se de melhor qualidade.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 FORNECEDOR deverá obedecer às recomendações do Ministério do Trabalho e Emprego, com relação à segurança do trabalho. Deverá responsabilizar-se também pelo correto cumprimento de sua jornada e por acidentes ocorridos no exercício da atividade.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rPr>
      </w:pPr>
      <w:r w:rsidRPr="007359AC">
        <w:rPr>
          <w:rFonts w:ascii="Verdana" w:eastAsia="Arial" w:hAnsi="Verdana" w:cs="Arial"/>
          <w:color w:val="000000"/>
        </w:rPr>
        <w:t>Caso seja constatada desconformidade do(s) produto(s) apresentado(s) em relação às especificações do(s) objeto(s) ou à(s) amostra(s) aprovada(s) pela DPE/</w:t>
      </w:r>
      <w:r w:rsidRPr="007359AC">
        <w:rPr>
          <w:rFonts w:ascii="Verdana" w:eastAsia="Arial" w:hAnsi="Verdana" w:cs="Arial"/>
        </w:rPr>
        <w:t>PR, o FORNECEDOR deverá efetuar a troca do(s) produto(s), no prazo de 10 (dez) dias, a contar do recebimento da solicitação, sem ônus adicional.</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rPr>
      </w:pPr>
      <w:r w:rsidRPr="007359AC">
        <w:rPr>
          <w:rFonts w:ascii="Verdana" w:eastAsia="Arial" w:hAnsi="Verdana" w:cs="Arial"/>
        </w:rPr>
        <w:lastRenderedPageBreak/>
        <w:t>Os produtos serão recebidos provisoriamente em até 05 (cinco) dias úteis e definitivamente em até 10 (dez) dias úteis.</w:t>
      </w:r>
    </w:p>
    <w:p w:rsidR="007359AC" w:rsidRPr="007359AC" w:rsidRDefault="007359AC" w:rsidP="007359AC">
      <w:pPr>
        <w:pBdr>
          <w:top w:val="nil"/>
          <w:left w:val="nil"/>
          <w:bottom w:val="nil"/>
          <w:right w:val="nil"/>
          <w:between w:val="nil"/>
        </w:pBdr>
        <w:jc w:val="both"/>
        <w:rPr>
          <w:rFonts w:ascii="Verdana" w:eastAsia="Arial" w:hAnsi="Verdana" w:cs="Arial"/>
        </w:rPr>
      </w:pPr>
    </w:p>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 xml:space="preserve">DA ENTREGA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 xml:space="preserve">Os produtos deverão ser entregues em até 15 (quinze) dias úteis, após a emissão da Ordem de Fornecimento.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Este prazo somente poderá ser dilatado por igual período (analisar caso a caso), a critério exclusivo da DPE/PR, mediante solicitação formal da empresa, dentro do prazo e com motivação fundamentada.</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 requerimento de prorrogação do prazo de entrega não interrompe a contagem do prazo inicialmente estipulado.</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 entrega deverá ser realizada no Centro de Distribuição Logística da Defensoria Pública, localizado na Avenida São Gabriel, 433, Galpão 4, Condomínio Vitamar, Roça Grande, Colombo/PR, CEP 83404-000, ou em outro endereço da DPE/PR em Curitiba, especificado pela DPE/PR.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 entrega deverá ocorrer em dia útil (previamente acordado com o responsável), em horário das 10h às 16h, ou conforme especificado. </w:t>
      </w:r>
    </w:p>
    <w:p w:rsidR="007359AC" w:rsidRPr="007359AC" w:rsidRDefault="007359AC" w:rsidP="007359AC">
      <w:pPr>
        <w:jc w:val="both"/>
        <w:rPr>
          <w:rFonts w:ascii="Verdana" w:eastAsia="Arial" w:hAnsi="Verdana" w:cs="Arial"/>
        </w:rPr>
      </w:pPr>
    </w:p>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DA VIGÊNCIA</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 prazo de vigência da Ata de Registro de Preços será de 12 (doze) meses, excluído o dia do termo final, contados da sua publicação no Diário Eletrônico da Defensoria Pública do Estado do Paraná – DEDPR.</w:t>
      </w:r>
    </w:p>
    <w:p w:rsidR="007359AC" w:rsidRPr="007359AC" w:rsidRDefault="007359AC" w:rsidP="007359AC">
      <w:pPr>
        <w:jc w:val="both"/>
        <w:rPr>
          <w:rFonts w:ascii="Verdana" w:eastAsia="Arial" w:hAnsi="Verdana" w:cs="Arial"/>
        </w:rPr>
      </w:pPr>
    </w:p>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DOS CRITÉRIOS DE SUSTENTABILIDADE</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 xml:space="preserve">De acordo com o Art. 48 do Decreto Estadual no 4993, de 31 de agosto de 2016, as empresas adotarão as seguintes práticas de sustentabilidade, quando couber: </w:t>
      </w:r>
    </w:p>
    <w:p w:rsidR="007359AC" w:rsidRPr="007359AC" w:rsidRDefault="007359AC" w:rsidP="007359AC">
      <w:pPr>
        <w:jc w:val="both"/>
        <w:rPr>
          <w:rFonts w:ascii="Verdana" w:eastAsia="Arial" w:hAnsi="Verdana" w:cs="Arial"/>
        </w:rPr>
      </w:pPr>
      <w:r w:rsidRPr="007359AC">
        <w:rPr>
          <w:rFonts w:ascii="Verdana" w:eastAsia="Arial" w:hAnsi="Verdana" w:cs="Arial"/>
        </w:rPr>
        <w:t xml:space="preserve">I - Que os bens sejam constituídos, no todo ou em parte, por material reciclado, atóxico, biodegradável, conforme normas específicas da ABNT; </w:t>
      </w:r>
    </w:p>
    <w:p w:rsidR="007359AC" w:rsidRPr="007359AC" w:rsidRDefault="007359AC" w:rsidP="007359AC">
      <w:pPr>
        <w:jc w:val="both"/>
        <w:rPr>
          <w:rFonts w:ascii="Verdana" w:eastAsia="Arial" w:hAnsi="Verdana" w:cs="Arial"/>
        </w:rPr>
      </w:pPr>
      <w:r w:rsidRPr="007359AC">
        <w:rPr>
          <w:rFonts w:ascii="Verdana" w:eastAsia="Arial" w:hAnsi="Verdana" w:cs="Arial"/>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7359AC" w:rsidRPr="007359AC" w:rsidRDefault="007359AC" w:rsidP="007359AC">
      <w:pPr>
        <w:jc w:val="both"/>
        <w:rPr>
          <w:rFonts w:ascii="Verdana" w:eastAsia="Arial" w:hAnsi="Verdana" w:cs="Arial"/>
        </w:rPr>
      </w:pPr>
      <w:r w:rsidRPr="007359AC">
        <w:rPr>
          <w:rFonts w:ascii="Verdana" w:eastAsia="Arial" w:hAnsi="Verdana" w:cs="Arial"/>
        </w:rPr>
        <w:t xml:space="preserve">III - Que os bens devam ser, preferencialmente, acondicionados em embalagem individual adequada, com o menor volume possível, que utilize materiais recicláveis, de forma a garantir a máxima proteção durante o transporte e o armazenamento; e </w:t>
      </w:r>
    </w:p>
    <w:p w:rsidR="007359AC" w:rsidRPr="007359AC" w:rsidRDefault="007359AC" w:rsidP="007359AC">
      <w:pPr>
        <w:jc w:val="both"/>
        <w:rPr>
          <w:rFonts w:ascii="Verdana" w:eastAsia="Arial" w:hAnsi="Verdana" w:cs="Arial"/>
        </w:rPr>
      </w:pPr>
      <w:r w:rsidRPr="007359AC">
        <w:rPr>
          <w:rFonts w:ascii="Verdana" w:eastAsia="Arial" w:hAnsi="Verdana" w:cs="Arial"/>
        </w:rPr>
        <w:t xml:space="preserve">IV - Que os bens não contenham substâncias perigosas em concentração acima da recomendada na diretiva RoHS (Restriction of Certain Hazardous Substances), tais como mercúrio (Hg), chumbo (Pb), cromo hexavalente (Cr (VI)), cádmio (Cd), bifenil-polibromados (PBBs), éteres difenil-polibromados (PBDEs).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Também deverão ser observados, no que couber, os preceitos da Lei Estadual nº 20.132, de 20 de janeiro de 2020, que altera dispositivos da Lei no 15.608, de 16 de agosto de 2007, e da Lei Estadual n° 16.075/2009.</w:t>
      </w:r>
    </w:p>
    <w:p w:rsidR="007359AC" w:rsidRPr="007359AC" w:rsidRDefault="007359AC" w:rsidP="007359AC">
      <w:pPr>
        <w:jc w:val="both"/>
        <w:rPr>
          <w:rFonts w:ascii="Verdana" w:eastAsia="Arial" w:hAnsi="Verdana" w:cs="Arial"/>
        </w:rPr>
      </w:pPr>
    </w:p>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DO PREÇO</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 não cabendo à DPPR quaisquer custos adicionais.</w:t>
      </w:r>
    </w:p>
    <w:p w:rsidR="007359AC" w:rsidRPr="007359AC" w:rsidRDefault="007359AC" w:rsidP="007359AC">
      <w:pPr>
        <w:jc w:val="both"/>
        <w:rPr>
          <w:rFonts w:ascii="Verdana" w:eastAsia="Arial" w:hAnsi="Verdana" w:cs="Arial"/>
        </w:rPr>
      </w:pPr>
    </w:p>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color w:val="000000"/>
        </w:rPr>
      </w:pPr>
      <w:r w:rsidRPr="007359AC">
        <w:rPr>
          <w:rFonts w:ascii="Verdana" w:eastAsia="Arial" w:hAnsi="Verdana" w:cs="Arial"/>
          <w:b/>
        </w:rPr>
        <w:lastRenderedPageBreak/>
        <w:t>DO RECEBIMENTO</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Em se tratando de compras, será recebido provisoriamente em até 05 (cinco) dias, para efeito de posterior verificação da conformidade do material com a especificação.</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O recebimento provisório poderá ser dispensado nos casos previstos taxativamente no artigo 74, incisos I, II e III da Lei 8.666/1993, sendo neste caso realizado mediante recibo, conforme parágrafo único do citado dispositivo.</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Fiscais de Débitos das receitas nos âmbitos municipal, estadual e federal;</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Certidão de Débitos Trabalhistas, emitida pelo Tribunal Superior do Trabalho;</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Certificado de Regularidade do FGTS – CRF.</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Caso alguma das referidas certidões tenha seu prazo de validade expirado, poderá o órgão responsável pelo recebimento definitivo, a seu exclusivo critério, diligenciar para obtenção do documento atualizado ou solicitar que a CONTRATADA o apresente.</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 recebimento definitivo será realizado de acordo com os seguintes prazos:</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Quando se tratar de compras, será recebido definitivamente em até 10 (dez) dias úteis, após a verificação da qualidade e quantidade do material.</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lastRenderedPageBreak/>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 CONTRATADA deverá corrigir, refazer ou substituir o objeto que apresentar quaisquer divergências com as especificações fornecidas, bem como realizar possíveis adequações necessárias, sem ônus para a CONTRATANTE.</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 recebimento definitivo do objeto fica condicionado à demonstração de cumprimento pela contratada de todas as suas obrigações assumidas, dentre as quais se incluem a apresentação dos documentos pertinentes, conforme descrito no item 8.2, e demais documentos complementares.</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Os recebimentos provisório ou definitivo do objeto não excluem a responsabilidade da contratada pelos prejuízos resultantes da incorreta execução/prestação do objeto.</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Os recebimentos provisório e definitivo ficam condicionados à prestação da totalidade do objeto indicado na ordem de fornecimento/serviço, sendo vedados recebimentos fracionados decorrentes de um mesmo pedido.</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rsidR="007359AC" w:rsidRPr="007359AC" w:rsidRDefault="007359AC" w:rsidP="007359AC">
      <w:pPr>
        <w:jc w:val="both"/>
        <w:rPr>
          <w:rFonts w:ascii="Verdana" w:eastAsia="Arial" w:hAnsi="Verdana" w:cs="Arial"/>
        </w:rPr>
      </w:pPr>
    </w:p>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DAS CONDIÇÕES DE PAGAMENTO</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Para a liberação do pagamento, o responsável pelo acompanhamento encaminhará o documento de cobrança e documentação complementar ao Departamento Financeiro que então providenciará a liquidação da obrigação.</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 pendência de liquidação de obrigação financeira imposta em virtude de penalidade ou inadimplência poderá gerar a retenção e/ou o desconto dos pagamentos devidos a CONTRATADA, sem que isso gere direito a acréscimos de qualquer natureza.</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Eventuais retenções e/ou descontos dos pagamentos serão apreciados em procedimento específico para apuração do eventual inadimplemento.</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 DPPR fará as retenções de acordo com a legislação vigente e/ou exigirá a comprovação dos recolhimentos exigidos em lei.</w:t>
      </w:r>
    </w:p>
    <w:p w:rsidR="007359AC" w:rsidRPr="007359AC" w:rsidRDefault="007359AC" w:rsidP="007359AC">
      <w:pPr>
        <w:numPr>
          <w:ilvl w:val="2"/>
          <w:numId w:val="2"/>
        </w:numPr>
        <w:pBdr>
          <w:top w:val="nil"/>
          <w:left w:val="nil"/>
          <w:bottom w:val="nil"/>
          <w:right w:val="nil"/>
          <w:between w:val="nil"/>
        </w:pBdr>
        <w:suppressAutoHyphens w:val="0"/>
        <w:spacing w:before="120"/>
        <w:jc w:val="both"/>
        <w:rPr>
          <w:rFonts w:ascii="Verdana" w:eastAsia="Arial" w:hAnsi="Verdana" w:cs="Arial"/>
          <w:color w:val="000000"/>
        </w:rPr>
      </w:pPr>
      <w:r w:rsidRPr="007359AC">
        <w:rPr>
          <w:rFonts w:ascii="Verdana" w:eastAsia="Arial" w:hAnsi="Verdana" w:cs="Arial"/>
          <w:color w:val="000000"/>
        </w:rPr>
        <w:t>Eventuais encargos decorrentes de atrasos nas retenções de responsabilidade da DPPR serão imputáveis exclusivamente à fornecedora quando esta deixar de apresentar os documentos necessários em tempo hábil.</w:t>
      </w:r>
    </w:p>
    <w:p w:rsidR="007359AC" w:rsidRPr="007359AC" w:rsidRDefault="007359AC" w:rsidP="007359AC">
      <w:pPr>
        <w:pBdr>
          <w:top w:val="nil"/>
          <w:left w:val="nil"/>
          <w:bottom w:val="nil"/>
          <w:right w:val="nil"/>
          <w:between w:val="nil"/>
        </w:pBdr>
        <w:jc w:val="both"/>
        <w:rPr>
          <w:rFonts w:ascii="Verdana" w:eastAsia="Arial" w:hAnsi="Verdana" w:cs="Arial"/>
          <w:color w:val="000000"/>
        </w:rPr>
      </w:pPr>
    </w:p>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lastRenderedPageBreak/>
        <w:t>SANÇÕES ADMINISTRATIVAS</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7359AC" w:rsidRPr="007359AC" w:rsidRDefault="007359AC" w:rsidP="007359AC">
      <w:pPr>
        <w:pBdr>
          <w:top w:val="nil"/>
          <w:left w:val="nil"/>
          <w:bottom w:val="nil"/>
          <w:right w:val="nil"/>
          <w:between w:val="nil"/>
        </w:pBdr>
        <w:ind w:left="284"/>
        <w:jc w:val="both"/>
        <w:rPr>
          <w:rFonts w:ascii="Verdana" w:eastAsia="Arial" w:hAnsi="Verdana" w:cs="Arial"/>
          <w:color w:val="000000"/>
        </w:rPr>
      </w:pPr>
      <w:r w:rsidRPr="007359AC">
        <w:rPr>
          <w:rFonts w:ascii="Verdana" w:eastAsia="Arial" w:hAnsi="Verdana" w:cs="Arial"/>
          <w:color w:val="000000"/>
        </w:rPr>
        <w:t>I -</w:t>
      </w:r>
      <w:r w:rsidRPr="007359AC">
        <w:rPr>
          <w:rFonts w:ascii="Verdana" w:eastAsia="Arial" w:hAnsi="Verdana" w:cs="Arial"/>
          <w:color w:val="000000"/>
        </w:rPr>
        <w:tab/>
        <w:t xml:space="preserve">Advertência, em caso de conduta que prejudique o andamento do procedimento licitatório ou da contratação; </w:t>
      </w:r>
    </w:p>
    <w:p w:rsidR="007359AC" w:rsidRPr="007359AC" w:rsidRDefault="007359AC" w:rsidP="007359AC">
      <w:pPr>
        <w:pBdr>
          <w:top w:val="nil"/>
          <w:left w:val="nil"/>
          <w:bottom w:val="nil"/>
          <w:right w:val="nil"/>
          <w:between w:val="nil"/>
        </w:pBdr>
        <w:ind w:left="284"/>
        <w:jc w:val="both"/>
        <w:rPr>
          <w:rFonts w:ascii="Verdana" w:eastAsia="Arial" w:hAnsi="Verdana" w:cs="Arial"/>
          <w:color w:val="000000"/>
        </w:rPr>
      </w:pPr>
      <w:r w:rsidRPr="007359AC">
        <w:rPr>
          <w:rFonts w:ascii="Verdana" w:eastAsia="Arial" w:hAnsi="Verdana" w:cs="Arial"/>
          <w:color w:val="000000"/>
        </w:rPr>
        <w:t>II -</w:t>
      </w:r>
      <w:r w:rsidRPr="007359AC">
        <w:rPr>
          <w:rFonts w:ascii="Verdana" w:eastAsia="Arial" w:hAnsi="Verdana" w:cs="Arial"/>
          <w:color w:val="000000"/>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rsidR="007359AC" w:rsidRPr="007359AC" w:rsidRDefault="007359AC" w:rsidP="007359AC">
      <w:pPr>
        <w:pBdr>
          <w:top w:val="nil"/>
          <w:left w:val="nil"/>
          <w:bottom w:val="nil"/>
          <w:right w:val="nil"/>
          <w:between w:val="nil"/>
        </w:pBdr>
        <w:ind w:left="284"/>
        <w:jc w:val="both"/>
        <w:rPr>
          <w:rFonts w:ascii="Verdana" w:eastAsia="Arial" w:hAnsi="Verdana" w:cs="Arial"/>
          <w:color w:val="000000"/>
        </w:rPr>
      </w:pPr>
      <w:r w:rsidRPr="007359AC">
        <w:rPr>
          <w:rFonts w:ascii="Verdana" w:eastAsia="Arial" w:hAnsi="Verdana" w:cs="Arial"/>
          <w:color w:val="000000"/>
        </w:rPr>
        <w:t>III -</w:t>
      </w:r>
      <w:r w:rsidRPr="007359AC">
        <w:rPr>
          <w:rFonts w:ascii="Verdana" w:eastAsia="Arial" w:hAnsi="Verdana" w:cs="Arial"/>
          <w:color w:val="000000"/>
        </w:rPr>
        <w:tab/>
        <w:t xml:space="preserve">Multa de até 20% (vinte por cento) sobre o valor total do contrato, nas seguintes hipóteses, dentre outras: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a)</w:t>
      </w:r>
      <w:r w:rsidRPr="007359AC">
        <w:rPr>
          <w:rFonts w:ascii="Verdana" w:eastAsia="Arial" w:hAnsi="Verdana" w:cs="Arial"/>
          <w:color w:val="000000"/>
        </w:rPr>
        <w:tab/>
        <w:t>não manutenção da proposta;</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b)</w:t>
      </w:r>
      <w:r w:rsidRPr="007359AC">
        <w:rPr>
          <w:rFonts w:ascii="Verdana" w:eastAsia="Arial" w:hAnsi="Verdana" w:cs="Arial"/>
          <w:color w:val="000000"/>
        </w:rPr>
        <w:tab/>
        <w:t>apresentação de declaração falsa;</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c)</w:t>
      </w:r>
      <w:r w:rsidRPr="007359AC">
        <w:rPr>
          <w:rFonts w:ascii="Verdana" w:eastAsia="Arial" w:hAnsi="Verdana" w:cs="Arial"/>
          <w:color w:val="000000"/>
        </w:rPr>
        <w:tab/>
        <w:t xml:space="preserve">não apresentação de documento na fase de saneamento;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d)</w:t>
      </w:r>
      <w:r w:rsidRPr="007359AC">
        <w:rPr>
          <w:rFonts w:ascii="Verdana" w:eastAsia="Arial" w:hAnsi="Verdana" w:cs="Arial"/>
          <w:color w:val="000000"/>
        </w:rPr>
        <w:tab/>
        <w:t xml:space="preserve">inexecução contratual;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e)</w:t>
      </w:r>
      <w:r w:rsidRPr="007359AC">
        <w:rPr>
          <w:rFonts w:ascii="Verdana" w:eastAsia="Arial" w:hAnsi="Verdana" w:cs="Arial"/>
          <w:color w:val="000000"/>
        </w:rPr>
        <w:tab/>
        <w:t xml:space="preserve">recusa injustificada, após ser considerado adjudicatário, a assinar o contrato, aceitar ou retirar o instrumento equivalente, dentro do prazo estabelecido pela Administração;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f)</w:t>
      </w:r>
      <w:r w:rsidRPr="007359AC">
        <w:rPr>
          <w:rFonts w:ascii="Verdana" w:eastAsia="Arial" w:hAnsi="Verdana" w:cs="Arial"/>
          <w:color w:val="000000"/>
        </w:rPr>
        <w:tab/>
        <w:t>abandono da execução contratual;</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g)</w:t>
      </w:r>
      <w:r w:rsidRPr="007359AC">
        <w:rPr>
          <w:rFonts w:ascii="Verdana" w:eastAsia="Arial" w:hAnsi="Verdana" w:cs="Arial"/>
          <w:color w:val="000000"/>
        </w:rPr>
        <w:tab/>
        <w:t>apresentação de documento falso;</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h)</w:t>
      </w:r>
      <w:r w:rsidRPr="007359AC">
        <w:rPr>
          <w:rFonts w:ascii="Verdana" w:eastAsia="Arial" w:hAnsi="Verdana" w:cs="Arial"/>
          <w:color w:val="000000"/>
        </w:rPr>
        <w:tab/>
        <w:t>fraude ou frustração do procedimento mediante ajuste, combinação ou qualquer outro expediente;</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i)</w:t>
      </w:r>
      <w:r w:rsidRPr="007359AC">
        <w:rPr>
          <w:rFonts w:ascii="Verdana" w:eastAsia="Arial" w:hAnsi="Verdana" w:cs="Arial"/>
          <w:color w:val="000000"/>
        </w:rPr>
        <w:tab/>
        <w:t xml:space="preserve">afastamento ou tentativa de afastamento de outra licitante por meio de violência, grave ameaça, fraude ou oferecimento de vantagem de qualquer tipo;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j)</w:t>
      </w:r>
      <w:r w:rsidRPr="007359AC">
        <w:rPr>
          <w:rFonts w:ascii="Verdana" w:eastAsia="Arial" w:hAnsi="Verdana" w:cs="Arial"/>
          <w:color w:val="000000"/>
        </w:rPr>
        <w:tab/>
        <w:t xml:space="preserve">atuação de má-fé na relação contratual, comprovada em procedimento específico;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k)</w:t>
      </w:r>
      <w:r w:rsidRPr="007359AC">
        <w:rPr>
          <w:rFonts w:ascii="Verdana" w:eastAsia="Arial" w:hAnsi="Verdana" w:cs="Arial"/>
          <w:color w:val="000000"/>
        </w:rPr>
        <w:tab/>
        <w:t xml:space="preserve">recebimento de condenação judicial definitiva por praticar, por meios dolosos, fraude fiscal no recolhimento de quaisquer tributos;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l)</w:t>
      </w:r>
      <w:r w:rsidRPr="007359AC">
        <w:rPr>
          <w:rFonts w:ascii="Verdana" w:eastAsia="Arial" w:hAnsi="Verdana" w:cs="Arial"/>
          <w:color w:val="000000"/>
        </w:rPr>
        <w:tab/>
        <w:t xml:space="preserve">demonstração de não possuir idoneidade para contratar com a Administração, em virtude de atos ilícitos praticados, em especial infrações à ordem econômica definidos na Lei Federal nº 8.158/91;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m)</w:t>
      </w:r>
      <w:r w:rsidRPr="007359AC">
        <w:rPr>
          <w:rFonts w:ascii="Verdana" w:eastAsia="Arial" w:hAnsi="Verdana" w:cs="Arial"/>
          <w:color w:val="000000"/>
        </w:rPr>
        <w:tab/>
        <w:t>recebimento de condenação definitiva por ato de improbidade administrativa, na forma da lei.</w:t>
      </w:r>
    </w:p>
    <w:p w:rsidR="007359AC" w:rsidRPr="007359AC" w:rsidRDefault="007359AC" w:rsidP="007359AC">
      <w:pPr>
        <w:pBdr>
          <w:top w:val="nil"/>
          <w:left w:val="nil"/>
          <w:bottom w:val="nil"/>
          <w:right w:val="nil"/>
          <w:between w:val="nil"/>
        </w:pBdr>
        <w:ind w:left="284"/>
        <w:jc w:val="both"/>
        <w:rPr>
          <w:rFonts w:ascii="Verdana" w:eastAsia="Arial" w:hAnsi="Verdana" w:cs="Arial"/>
          <w:color w:val="000000"/>
        </w:rPr>
      </w:pPr>
      <w:r w:rsidRPr="007359AC">
        <w:rPr>
          <w:rFonts w:ascii="Verdana" w:eastAsia="Arial" w:hAnsi="Verdana" w:cs="Arial"/>
          <w:color w:val="000000"/>
        </w:rPr>
        <w:t>IV -</w:t>
      </w:r>
      <w:r w:rsidRPr="007359AC">
        <w:rPr>
          <w:rFonts w:ascii="Verdana" w:eastAsia="Arial" w:hAnsi="Verdana" w:cs="Arial"/>
          <w:color w:val="000000"/>
        </w:rPr>
        <w:tab/>
        <w:t>Suspensão temporária de participação em licitação e impedimento de licitar e contratar com a DPPR pelo prazo de até 2 (dois) anos, nas seguintes hipóteses:</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a)</w:t>
      </w:r>
      <w:r w:rsidRPr="007359AC">
        <w:rPr>
          <w:rFonts w:ascii="Verdana" w:eastAsia="Arial" w:hAnsi="Verdana" w:cs="Arial"/>
          <w:color w:val="000000"/>
        </w:rPr>
        <w:tab/>
        <w:t xml:space="preserve">recusa injustificada, após ser considerado adjudicatário, a assinar o contrato, aceitar ou retirar o instrumento equivalente, dentro do prazo estabelecido pela Administração;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b)</w:t>
      </w:r>
      <w:r w:rsidRPr="007359AC">
        <w:rPr>
          <w:rFonts w:ascii="Verdana" w:eastAsia="Arial" w:hAnsi="Verdana" w:cs="Arial"/>
          <w:color w:val="000000"/>
        </w:rPr>
        <w:tab/>
        <w:t xml:space="preserve">não manutenção da proposta;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c)</w:t>
      </w:r>
      <w:r w:rsidRPr="007359AC">
        <w:rPr>
          <w:rFonts w:ascii="Verdana" w:eastAsia="Arial" w:hAnsi="Verdana" w:cs="Arial"/>
          <w:color w:val="000000"/>
        </w:rPr>
        <w:tab/>
        <w:t>abandono da execução contratual;</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d)</w:t>
      </w:r>
      <w:r w:rsidRPr="007359AC">
        <w:rPr>
          <w:rFonts w:ascii="Verdana" w:eastAsia="Arial" w:hAnsi="Verdana" w:cs="Arial"/>
          <w:color w:val="000000"/>
        </w:rPr>
        <w:tab/>
        <w:t>inexecução contratual.</w:t>
      </w:r>
    </w:p>
    <w:p w:rsidR="007359AC" w:rsidRPr="007359AC" w:rsidRDefault="007359AC" w:rsidP="007359AC">
      <w:pPr>
        <w:pBdr>
          <w:top w:val="nil"/>
          <w:left w:val="nil"/>
          <w:bottom w:val="nil"/>
          <w:right w:val="nil"/>
          <w:between w:val="nil"/>
        </w:pBdr>
        <w:ind w:left="284"/>
        <w:jc w:val="both"/>
        <w:rPr>
          <w:rFonts w:ascii="Verdana" w:eastAsia="Arial" w:hAnsi="Verdana" w:cs="Arial"/>
          <w:color w:val="000000"/>
        </w:rPr>
      </w:pPr>
      <w:r w:rsidRPr="007359AC">
        <w:rPr>
          <w:rFonts w:ascii="Verdana" w:eastAsia="Arial" w:hAnsi="Verdana" w:cs="Arial"/>
          <w:color w:val="000000"/>
        </w:rPr>
        <w:t>V -</w:t>
      </w:r>
      <w:r w:rsidRPr="007359AC">
        <w:rPr>
          <w:rFonts w:ascii="Verdana" w:eastAsia="Arial" w:hAnsi="Verdana" w:cs="Arial"/>
          <w:color w:val="000000"/>
        </w:rPr>
        <w:tab/>
        <w:t>Declaração de inidoneidade para licitar ou contratar com a Administração Pública, pelo prazo máximo de 05 (cinco) anos, aplicada à licitante que:</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a)</w:t>
      </w:r>
      <w:r w:rsidRPr="007359AC">
        <w:rPr>
          <w:rFonts w:ascii="Verdana" w:eastAsia="Arial" w:hAnsi="Verdana" w:cs="Arial"/>
          <w:color w:val="000000"/>
        </w:rPr>
        <w:tab/>
        <w:t>apresentação de declaração falsa na fase de habilitação;</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b)</w:t>
      </w:r>
      <w:r w:rsidRPr="007359AC">
        <w:rPr>
          <w:rFonts w:ascii="Verdana" w:eastAsia="Arial" w:hAnsi="Verdana" w:cs="Arial"/>
          <w:color w:val="000000"/>
        </w:rPr>
        <w:tab/>
        <w:t xml:space="preserve">apresentação de documento falso;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c)</w:t>
      </w:r>
      <w:r w:rsidRPr="007359AC">
        <w:rPr>
          <w:rFonts w:ascii="Verdana" w:eastAsia="Arial" w:hAnsi="Verdana" w:cs="Arial"/>
          <w:color w:val="000000"/>
        </w:rPr>
        <w:tab/>
        <w:t xml:space="preserve">fraude ou frustração do procedimento mediante ajuste, combinação ou qualquer outro expediente;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d)</w:t>
      </w:r>
      <w:r w:rsidRPr="007359AC">
        <w:rPr>
          <w:rFonts w:ascii="Verdana" w:eastAsia="Arial" w:hAnsi="Verdana" w:cs="Arial"/>
          <w:color w:val="000000"/>
        </w:rPr>
        <w:tab/>
        <w:t xml:space="preserve">afastamento ou tentativa de afastamento de outra licitante por meio de violência, grave ameaça, fraude ou oferecimento de vantagem de qualquer tipo; </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e)</w:t>
      </w:r>
      <w:r w:rsidRPr="007359AC">
        <w:rPr>
          <w:rFonts w:ascii="Verdana" w:eastAsia="Arial" w:hAnsi="Verdana" w:cs="Arial"/>
          <w:color w:val="000000"/>
        </w:rPr>
        <w:tab/>
        <w:t>atuação de má-fé na relação contratual, comprovada em procedimento específico;</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lastRenderedPageBreak/>
        <w:t>f)</w:t>
      </w:r>
      <w:r w:rsidRPr="007359AC">
        <w:rPr>
          <w:rFonts w:ascii="Verdana" w:eastAsia="Arial" w:hAnsi="Verdana" w:cs="Arial"/>
          <w:color w:val="000000"/>
        </w:rPr>
        <w:tab/>
        <w:t>recebimento de condenação judicial definitiva por praticar, por meios dolosos, fraude fiscal no recolhimento de quaisquer tributos;</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g)</w:t>
      </w:r>
      <w:r w:rsidRPr="007359AC">
        <w:rPr>
          <w:rFonts w:ascii="Verdana" w:eastAsia="Arial" w:hAnsi="Verdana" w:cs="Arial"/>
          <w:color w:val="000000"/>
        </w:rPr>
        <w:tab/>
        <w:t>demonstração de não possuir idoneidade para contratar com a Administração, em virtude de atos ilícitos praticados, em especial infrações à ordem econômica definidos na Lei Federal nº 8.158/91;</w:t>
      </w:r>
    </w:p>
    <w:p w:rsidR="007359AC" w:rsidRPr="007359AC" w:rsidRDefault="007359AC" w:rsidP="007359AC">
      <w:pPr>
        <w:pBdr>
          <w:top w:val="nil"/>
          <w:left w:val="nil"/>
          <w:bottom w:val="nil"/>
          <w:right w:val="nil"/>
          <w:between w:val="nil"/>
        </w:pBdr>
        <w:ind w:left="709"/>
        <w:jc w:val="both"/>
        <w:rPr>
          <w:rFonts w:ascii="Verdana" w:eastAsia="Arial" w:hAnsi="Verdana" w:cs="Arial"/>
          <w:color w:val="000000"/>
        </w:rPr>
      </w:pPr>
      <w:r w:rsidRPr="007359AC">
        <w:rPr>
          <w:rFonts w:ascii="Verdana" w:eastAsia="Arial" w:hAnsi="Verdana" w:cs="Arial"/>
          <w:color w:val="000000"/>
        </w:rPr>
        <w:t>h)</w:t>
      </w:r>
      <w:r w:rsidRPr="007359AC">
        <w:rPr>
          <w:rFonts w:ascii="Verdana" w:eastAsia="Arial" w:hAnsi="Verdana" w:cs="Arial"/>
          <w:color w:val="000000"/>
        </w:rPr>
        <w:tab/>
        <w:t xml:space="preserve">recebimento de condenação definitiva por ato de improbidade administrativa, na forma da lei.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As sanções previstas acima poderão ser aplicadas cumulativamente.</w:t>
      </w:r>
    </w:p>
    <w:p w:rsidR="007359AC" w:rsidRPr="007359AC" w:rsidRDefault="007359AC" w:rsidP="007359AC">
      <w:pPr>
        <w:pBdr>
          <w:top w:val="nil"/>
          <w:left w:val="nil"/>
          <w:bottom w:val="nil"/>
          <w:right w:val="nil"/>
          <w:between w:val="nil"/>
        </w:pBdr>
        <w:jc w:val="both"/>
        <w:rPr>
          <w:rFonts w:ascii="Verdana" w:eastAsia="Arial" w:hAnsi="Verdana" w:cs="Arial"/>
          <w:color w:val="000000"/>
        </w:rPr>
      </w:pPr>
    </w:p>
    <w:p w:rsidR="007359AC" w:rsidRPr="007359AC" w:rsidRDefault="007359AC" w:rsidP="007359AC">
      <w:pPr>
        <w:numPr>
          <w:ilvl w:val="0"/>
          <w:numId w:val="2"/>
        </w:numPr>
        <w:pBdr>
          <w:top w:val="nil"/>
          <w:left w:val="nil"/>
          <w:bottom w:val="nil"/>
          <w:right w:val="nil"/>
          <w:between w:val="nil"/>
        </w:pBdr>
        <w:suppressAutoHyphens w:val="0"/>
        <w:spacing w:before="120"/>
        <w:ind w:left="284" w:hanging="284"/>
        <w:jc w:val="both"/>
        <w:rPr>
          <w:rFonts w:ascii="Verdana" w:eastAsia="Arial" w:hAnsi="Verdana" w:cs="Arial"/>
          <w:b/>
        </w:rPr>
      </w:pPr>
      <w:r w:rsidRPr="007359AC">
        <w:rPr>
          <w:rFonts w:ascii="Verdana" w:eastAsia="Arial" w:hAnsi="Verdana" w:cs="Arial"/>
          <w:b/>
        </w:rPr>
        <w:t>LEGISLAÇÃO APLICÁVEL</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 xml:space="preserve">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rsidR="007359AC" w:rsidRPr="007359AC" w:rsidRDefault="007359AC" w:rsidP="007359AC">
      <w:pPr>
        <w:numPr>
          <w:ilvl w:val="1"/>
          <w:numId w:val="2"/>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359AC">
        <w:rPr>
          <w:rFonts w:ascii="Verdana" w:eastAsia="Arial" w:hAnsi="Verdana" w:cs="Arial"/>
          <w:color w:val="000000"/>
        </w:rPr>
        <w:t>Os diplomas legais acima indicados aplicam-se especialmente quanto aos casos omissos.</w:t>
      </w:r>
    </w:p>
    <w:p w:rsidR="007359AC" w:rsidRDefault="007359AC" w:rsidP="007359AC">
      <w:pPr>
        <w:jc w:val="both"/>
        <w:rPr>
          <w:rFonts w:ascii="Arial" w:eastAsia="Arial" w:hAnsi="Arial" w:cs="Arial"/>
          <w:sz w:val="24"/>
          <w:szCs w:val="24"/>
        </w:rPr>
      </w:pPr>
    </w:p>
    <w:p w:rsidR="007359AC" w:rsidRDefault="007359AC" w:rsidP="007359AC">
      <w:pPr>
        <w:jc w:val="both"/>
        <w:rPr>
          <w:rFonts w:ascii="Arial" w:eastAsia="Arial" w:hAnsi="Arial" w:cs="Arial"/>
          <w:sz w:val="24"/>
          <w:szCs w:val="24"/>
        </w:rPr>
      </w:pPr>
    </w:p>
    <w:p w:rsidR="007359AC" w:rsidRDefault="007359AC" w:rsidP="007359AC">
      <w:pPr>
        <w:jc w:val="both"/>
        <w:rPr>
          <w:rFonts w:ascii="Arial" w:eastAsia="Arial" w:hAnsi="Arial" w:cs="Arial"/>
          <w:sz w:val="24"/>
          <w:szCs w:val="24"/>
        </w:rPr>
      </w:pPr>
    </w:p>
    <w:p w:rsidR="007359AC" w:rsidRDefault="007359AC" w:rsidP="007359AC">
      <w:pPr>
        <w:jc w:val="center"/>
        <w:rPr>
          <w:rFonts w:ascii="Arial" w:eastAsia="Arial" w:hAnsi="Arial" w:cs="Arial"/>
          <w:b/>
          <w:sz w:val="24"/>
          <w:szCs w:val="24"/>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9A2EFF" w:rsidRDefault="009A2EFF">
      <w:pPr>
        <w:suppressAutoHyphens w:val="0"/>
        <w:rPr>
          <w:rFonts w:ascii="Verdana" w:eastAsia="Verdana" w:hAnsi="Verdana" w:cs="Verdana"/>
          <w:b/>
          <w:lang w:eastAsia="zh-CN"/>
        </w:rPr>
      </w:pPr>
      <w:r>
        <w:rPr>
          <w:rFonts w:ascii="Verdana" w:eastAsia="Verdana" w:hAnsi="Verdana" w:cs="Verdana"/>
          <w:b/>
        </w:rPr>
        <w:br w:type="page"/>
      </w:r>
    </w:p>
    <w:p w:rsidR="00B82D85" w:rsidRDefault="007359AC">
      <w:pPr>
        <w:pStyle w:val="LO-normal"/>
        <w:spacing w:line="276" w:lineRule="auto"/>
        <w:jc w:val="center"/>
      </w:pPr>
      <w:r>
        <w:rPr>
          <w:rFonts w:ascii="Verdana" w:eastAsia="Verdana" w:hAnsi="Verdana" w:cs="Verdana"/>
          <w:b/>
        </w:rPr>
        <w:lastRenderedPageBreak/>
        <w:t>ANEXO II – MODELO DE CARTA DE CREDENCIAMENTO</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À</w:t>
      </w:r>
    </w:p>
    <w:p w:rsidR="00B82D85" w:rsidRDefault="007359AC">
      <w:pPr>
        <w:pStyle w:val="LO-normal"/>
        <w:spacing w:line="276" w:lineRule="auto"/>
        <w:jc w:val="both"/>
      </w:pPr>
      <w:r>
        <w:rPr>
          <w:rFonts w:ascii="Verdana" w:eastAsia="Verdana" w:hAnsi="Verdana" w:cs="Verdana"/>
        </w:rPr>
        <w:t>DEFENSORIA PÚBLICA DO ESTADO DO PARANÁ</w:t>
      </w:r>
    </w:p>
    <w:p w:rsidR="00B82D85" w:rsidRDefault="007359AC">
      <w:pPr>
        <w:pStyle w:val="LO-normal"/>
        <w:spacing w:line="276" w:lineRule="auto"/>
        <w:jc w:val="both"/>
      </w:pPr>
      <w:r>
        <w:rPr>
          <w:rFonts w:ascii="Verdana" w:eastAsia="Verdana" w:hAnsi="Verdana" w:cs="Verdana"/>
        </w:rPr>
        <w:t xml:space="preserve">EDITAL DE PREGÃO ELETRÔNICO Nº </w:t>
      </w:r>
      <w:r w:rsidR="00711913">
        <w:rPr>
          <w:rFonts w:ascii="Verdana" w:eastAsia="Verdana" w:hAnsi="Verdana" w:cs="Verdana"/>
        </w:rPr>
        <w:t>025</w:t>
      </w:r>
      <w:r>
        <w:rPr>
          <w:rFonts w:ascii="Verdana" w:eastAsia="Verdana" w:hAnsi="Verdana" w:cs="Verdana"/>
        </w:rPr>
        <w:t>/2023</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(Local), __ de __________ de 2023.</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Atenciosamente,</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_________________________________________</w:t>
      </w:r>
    </w:p>
    <w:p w:rsidR="00B82D85" w:rsidRDefault="007359AC">
      <w:pPr>
        <w:pStyle w:val="LO-normal"/>
        <w:spacing w:line="276" w:lineRule="auto"/>
        <w:jc w:val="center"/>
      </w:pPr>
      <w:r>
        <w:rPr>
          <w:rFonts w:ascii="Verdana" w:eastAsia="Verdana" w:hAnsi="Verdana" w:cs="Verdana"/>
        </w:rPr>
        <w:t>[Identificação e assinatura do outorgante]</w:t>
      </w: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7359AC">
      <w:pPr>
        <w:pStyle w:val="LO-normal"/>
        <w:spacing w:line="276" w:lineRule="auto"/>
        <w:jc w:val="center"/>
      </w:pPr>
      <w:r>
        <w:rPr>
          <w:rFonts w:ascii="Verdana" w:eastAsia="Verdana" w:hAnsi="Verdana" w:cs="Verdana"/>
          <w:b/>
        </w:rPr>
        <w:lastRenderedPageBreak/>
        <w:t>ANEXO III – MODELO DE DECLARAÇÃO DE CUMPRIMENTO DOS REQUISITOS DE HABILITAÇÃO</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À</w:t>
      </w:r>
    </w:p>
    <w:p w:rsidR="00B82D85" w:rsidRDefault="007359AC">
      <w:pPr>
        <w:pStyle w:val="LO-normal"/>
        <w:spacing w:line="276" w:lineRule="auto"/>
        <w:jc w:val="both"/>
      </w:pPr>
      <w:r>
        <w:rPr>
          <w:rFonts w:ascii="Verdana" w:eastAsia="Verdana" w:hAnsi="Verdana" w:cs="Verdana"/>
        </w:rPr>
        <w:t>DEFENSORIA PÚBLICA DO ESTADO DO PARANÁ</w:t>
      </w:r>
    </w:p>
    <w:p w:rsidR="00B82D85" w:rsidRDefault="007359AC">
      <w:pPr>
        <w:pStyle w:val="LO-normal"/>
        <w:spacing w:line="276" w:lineRule="auto"/>
        <w:jc w:val="both"/>
      </w:pPr>
      <w:r>
        <w:rPr>
          <w:rFonts w:ascii="Verdana" w:eastAsia="Verdana" w:hAnsi="Verdana" w:cs="Verdana"/>
        </w:rPr>
        <w:t xml:space="preserve">EDITAL DE PREGÃO ELETRÔNICO Nº </w:t>
      </w:r>
      <w:r w:rsidR="00711913">
        <w:rPr>
          <w:rFonts w:ascii="Verdana" w:eastAsia="Verdana" w:hAnsi="Verdana" w:cs="Verdana"/>
        </w:rPr>
        <w:t>025</w:t>
      </w:r>
      <w:r>
        <w:rPr>
          <w:rFonts w:ascii="Verdana" w:eastAsia="Verdana" w:hAnsi="Verdana" w:cs="Verdana"/>
        </w:rPr>
        <w:t>/2023</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(Local), ___ de _________ de 2023.</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__________________________________</w:t>
      </w:r>
    </w:p>
    <w:p w:rsidR="00B82D85" w:rsidRDefault="007359AC">
      <w:pPr>
        <w:pStyle w:val="LO-normal"/>
        <w:spacing w:line="276" w:lineRule="auto"/>
        <w:jc w:val="center"/>
      </w:pPr>
      <w:r>
        <w:rPr>
          <w:rFonts w:ascii="Verdana" w:eastAsia="Verdana" w:hAnsi="Verdana" w:cs="Verdana"/>
        </w:rPr>
        <w:t>Nome da Empresa</w:t>
      </w:r>
    </w:p>
    <w:p w:rsidR="00B82D85" w:rsidRDefault="007359AC">
      <w:pPr>
        <w:pStyle w:val="LO-normal"/>
        <w:spacing w:line="276" w:lineRule="auto"/>
        <w:jc w:val="center"/>
      </w:pPr>
      <w:r>
        <w:rPr>
          <w:rFonts w:ascii="Verdana" w:eastAsia="Verdana" w:hAnsi="Verdana" w:cs="Verdana"/>
        </w:rPr>
        <w:t>CNPJ:</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__________________________________</w:t>
      </w:r>
    </w:p>
    <w:p w:rsidR="00B82D85" w:rsidRDefault="007359AC">
      <w:pPr>
        <w:pStyle w:val="LO-normal"/>
        <w:spacing w:line="276" w:lineRule="auto"/>
        <w:jc w:val="center"/>
      </w:pPr>
      <w:r>
        <w:rPr>
          <w:rFonts w:ascii="Verdana" w:eastAsia="Verdana" w:hAnsi="Verdana" w:cs="Verdana"/>
        </w:rPr>
        <w:t>Representante Legal ou Procurador do Licitante</w:t>
      </w:r>
    </w:p>
    <w:p w:rsidR="00B82D85" w:rsidRDefault="007359AC">
      <w:pPr>
        <w:pStyle w:val="LO-normal"/>
        <w:spacing w:line="276" w:lineRule="auto"/>
        <w:jc w:val="center"/>
      </w:pPr>
      <w:r>
        <w:rPr>
          <w:rFonts w:ascii="Verdana" w:eastAsia="Verdana" w:hAnsi="Verdana" w:cs="Verdana"/>
        </w:rPr>
        <w:t>(nome e assinatura)</w:t>
      </w: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7359AC">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À</w:t>
      </w:r>
    </w:p>
    <w:p w:rsidR="00B82D85" w:rsidRDefault="007359AC">
      <w:pPr>
        <w:pStyle w:val="LO-normal"/>
        <w:spacing w:line="276" w:lineRule="auto"/>
        <w:jc w:val="both"/>
      </w:pPr>
      <w:r>
        <w:rPr>
          <w:rFonts w:ascii="Verdana" w:eastAsia="Verdana" w:hAnsi="Verdana" w:cs="Verdana"/>
        </w:rPr>
        <w:t>DEFENSORIA PÚBLICA DO ESTADO DO PARANÁ</w:t>
      </w:r>
    </w:p>
    <w:p w:rsidR="00B82D85" w:rsidRDefault="007359AC">
      <w:pPr>
        <w:pStyle w:val="LO-normal"/>
        <w:spacing w:line="276" w:lineRule="auto"/>
        <w:jc w:val="both"/>
      </w:pPr>
      <w:r>
        <w:rPr>
          <w:rFonts w:ascii="Verdana" w:eastAsia="Verdana" w:hAnsi="Verdana" w:cs="Verdana"/>
        </w:rPr>
        <w:t xml:space="preserve">EDITAL DE PREGÃO ELETRÔNICO Nº </w:t>
      </w:r>
      <w:r w:rsidR="00711913">
        <w:rPr>
          <w:rFonts w:ascii="Verdana" w:eastAsia="Verdana" w:hAnsi="Verdana" w:cs="Verdana"/>
        </w:rPr>
        <w:t>025</w:t>
      </w:r>
      <w:r>
        <w:rPr>
          <w:rFonts w:ascii="Verdana" w:eastAsia="Verdana" w:hAnsi="Verdana" w:cs="Verdana"/>
        </w:rPr>
        <w:t>/2023</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B82D85" w:rsidRDefault="007359AC">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_______________________________________</w:t>
      </w:r>
    </w:p>
    <w:p w:rsidR="00B82D85" w:rsidRDefault="007359AC">
      <w:pPr>
        <w:pStyle w:val="LO-normal"/>
        <w:spacing w:line="276" w:lineRule="auto"/>
        <w:jc w:val="center"/>
      </w:pPr>
      <w:r>
        <w:rPr>
          <w:rFonts w:ascii="Verdana" w:eastAsia="Verdana" w:hAnsi="Verdana" w:cs="Verdana"/>
        </w:rPr>
        <w:t>Local e Data</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_________________________________________________</w:t>
      </w:r>
    </w:p>
    <w:p w:rsidR="00B82D85" w:rsidRDefault="007359AC">
      <w:pPr>
        <w:pStyle w:val="LO-normal"/>
        <w:spacing w:line="276" w:lineRule="auto"/>
        <w:jc w:val="center"/>
      </w:pPr>
      <w:r>
        <w:rPr>
          <w:rFonts w:ascii="Verdana" w:eastAsia="Verdana" w:hAnsi="Verdana" w:cs="Verdana"/>
        </w:rPr>
        <w:t>Representante Legal ou Procurador do Licitante</w:t>
      </w:r>
    </w:p>
    <w:p w:rsidR="00B82D85" w:rsidRDefault="007359AC">
      <w:pPr>
        <w:pStyle w:val="LO-normal"/>
        <w:spacing w:line="276" w:lineRule="auto"/>
        <w:jc w:val="center"/>
      </w:pPr>
      <w:r>
        <w:rPr>
          <w:rFonts w:ascii="Verdana" w:eastAsia="Verdana" w:hAnsi="Verdana" w:cs="Verdana"/>
        </w:rPr>
        <w:t>(nome e assinatura)</w:t>
      </w: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1E230A" w:rsidRDefault="001E230A">
      <w:pPr>
        <w:suppressAutoHyphens w:val="0"/>
        <w:rPr>
          <w:rFonts w:ascii="Verdana" w:eastAsia="Verdana" w:hAnsi="Verdana" w:cs="Verdana"/>
          <w:b/>
          <w:lang w:eastAsia="zh-CN"/>
        </w:rPr>
      </w:pPr>
      <w:r>
        <w:rPr>
          <w:rFonts w:ascii="Verdana" w:eastAsia="Verdana" w:hAnsi="Verdana" w:cs="Verdana"/>
          <w:b/>
        </w:rPr>
        <w:br w:type="page"/>
      </w:r>
    </w:p>
    <w:p w:rsidR="00B82D85" w:rsidRDefault="007359AC">
      <w:pPr>
        <w:pStyle w:val="LO-normal"/>
        <w:spacing w:line="276" w:lineRule="auto"/>
        <w:jc w:val="center"/>
      </w:pPr>
      <w:r>
        <w:rPr>
          <w:rFonts w:ascii="Verdana" w:eastAsia="Verdana" w:hAnsi="Verdana" w:cs="Verdana"/>
          <w:b/>
        </w:rPr>
        <w:lastRenderedPageBreak/>
        <w:t>ANEXO V – MODELO DE PROPOSTA DE PREÇOS</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À</w:t>
      </w:r>
    </w:p>
    <w:p w:rsidR="00B82D85" w:rsidRDefault="007359AC">
      <w:pPr>
        <w:pStyle w:val="LO-normal"/>
        <w:spacing w:line="276" w:lineRule="auto"/>
        <w:jc w:val="both"/>
      </w:pPr>
      <w:r>
        <w:rPr>
          <w:rFonts w:ascii="Verdana" w:eastAsia="Verdana" w:hAnsi="Verdana" w:cs="Verdana"/>
        </w:rPr>
        <w:t>DEFENSORIA PÚBLICA DO ESTADO DO PARANÁ</w:t>
      </w:r>
    </w:p>
    <w:p w:rsidR="00B82D85" w:rsidRDefault="007359AC">
      <w:pPr>
        <w:pStyle w:val="LO-normal"/>
        <w:spacing w:line="276" w:lineRule="auto"/>
        <w:jc w:val="both"/>
      </w:pPr>
      <w:r>
        <w:rPr>
          <w:rFonts w:ascii="Verdana" w:eastAsia="Verdana" w:hAnsi="Verdana" w:cs="Verdana"/>
        </w:rPr>
        <w:t xml:space="preserve">EDITAL DE PREGÃO ELETRÔNICO Nº </w:t>
      </w:r>
      <w:r w:rsidR="00711913">
        <w:rPr>
          <w:rFonts w:ascii="Verdana" w:eastAsia="Verdana" w:hAnsi="Verdana" w:cs="Verdana"/>
        </w:rPr>
        <w:t>025</w:t>
      </w:r>
      <w:r>
        <w:rPr>
          <w:rFonts w:ascii="Verdana" w:eastAsia="Verdana" w:hAnsi="Verdana" w:cs="Verdana"/>
        </w:rPr>
        <w:t>/2023</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Nome do Representante:</w:t>
      </w:r>
    </w:p>
    <w:p w:rsidR="00B82D85" w:rsidRDefault="007359AC">
      <w:pPr>
        <w:pStyle w:val="LO-normal"/>
        <w:spacing w:line="276" w:lineRule="auto"/>
        <w:jc w:val="both"/>
      </w:pPr>
      <w:r>
        <w:rPr>
          <w:rFonts w:ascii="Verdana" w:eastAsia="Verdana" w:hAnsi="Verdana" w:cs="Verdana"/>
        </w:rPr>
        <w:t>RG:</w:t>
      </w:r>
    </w:p>
    <w:p w:rsidR="00B82D85" w:rsidRDefault="007359AC">
      <w:pPr>
        <w:pStyle w:val="LO-normal"/>
        <w:spacing w:line="276" w:lineRule="auto"/>
        <w:jc w:val="both"/>
      </w:pPr>
      <w:r>
        <w:rPr>
          <w:rFonts w:ascii="Verdana" w:eastAsia="Verdana" w:hAnsi="Verdana" w:cs="Verdana"/>
        </w:rPr>
        <w:t>CPF:</w:t>
      </w:r>
    </w:p>
    <w:p w:rsidR="00B82D85" w:rsidRDefault="007359AC">
      <w:pPr>
        <w:pStyle w:val="LO-normal"/>
        <w:spacing w:line="276" w:lineRule="auto"/>
        <w:jc w:val="both"/>
      </w:pPr>
      <w:r>
        <w:rPr>
          <w:rFonts w:ascii="Verdana" w:eastAsia="Verdana" w:hAnsi="Verdana" w:cs="Verdana"/>
        </w:rPr>
        <w:t>Razão Social da Empresa:</w:t>
      </w:r>
    </w:p>
    <w:p w:rsidR="00B82D85" w:rsidRDefault="007359AC">
      <w:pPr>
        <w:pStyle w:val="LO-normal"/>
        <w:spacing w:line="276" w:lineRule="auto"/>
        <w:jc w:val="both"/>
      </w:pPr>
      <w:r>
        <w:rPr>
          <w:rFonts w:ascii="Verdana" w:eastAsia="Verdana" w:hAnsi="Verdana" w:cs="Verdana"/>
        </w:rPr>
        <w:t>CNPJ:</w:t>
      </w:r>
    </w:p>
    <w:p w:rsidR="00B82D85" w:rsidRDefault="007359AC">
      <w:pPr>
        <w:pStyle w:val="LO-normal"/>
        <w:spacing w:line="276" w:lineRule="auto"/>
        <w:jc w:val="both"/>
      </w:pPr>
      <w:r>
        <w:rPr>
          <w:rFonts w:ascii="Verdana" w:eastAsia="Verdana" w:hAnsi="Verdana" w:cs="Verdana"/>
        </w:rPr>
        <w:t>Endereço:</w:t>
      </w:r>
    </w:p>
    <w:p w:rsidR="00B82D85" w:rsidRDefault="007359AC">
      <w:pPr>
        <w:pStyle w:val="LO-normal"/>
        <w:spacing w:line="276" w:lineRule="auto"/>
        <w:jc w:val="both"/>
      </w:pPr>
      <w:r>
        <w:rPr>
          <w:rFonts w:ascii="Verdana" w:eastAsia="Verdana" w:hAnsi="Verdana" w:cs="Verdana"/>
        </w:rPr>
        <w:t>Telefone:</w:t>
      </w:r>
    </w:p>
    <w:p w:rsidR="00B82D85" w:rsidRDefault="007359AC">
      <w:pPr>
        <w:pStyle w:val="LO-normal"/>
        <w:spacing w:line="276" w:lineRule="auto"/>
        <w:jc w:val="both"/>
      </w:pPr>
      <w:r>
        <w:rPr>
          <w:rFonts w:ascii="Verdana" w:eastAsia="Verdana" w:hAnsi="Verdana" w:cs="Verdana"/>
        </w:rPr>
        <w:t>Email:</w:t>
      </w:r>
    </w:p>
    <w:p w:rsidR="00B82D85" w:rsidRDefault="007359AC">
      <w:pPr>
        <w:pStyle w:val="LO-normal"/>
        <w:spacing w:line="276" w:lineRule="auto"/>
        <w:jc w:val="both"/>
      </w:pPr>
      <w:r>
        <w:rPr>
          <w:rFonts w:ascii="Verdana" w:eastAsia="Verdana" w:hAnsi="Verdana" w:cs="Verdana"/>
        </w:rPr>
        <w:t>Banco, agência e conta para pagamento:</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tbl>
      <w:tblPr>
        <w:tblStyle w:val="a4"/>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B82D85">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Valor Total</w:t>
            </w:r>
          </w:p>
        </w:tc>
      </w:tr>
      <w:tr w:rsidR="009A2EFF" w:rsidTr="002A4124">
        <w:trPr>
          <w:trHeight w:val="160"/>
          <w:jc w:val="center"/>
        </w:trPr>
        <w:tc>
          <w:tcPr>
            <w:tcW w:w="637" w:type="dxa"/>
            <w:vMerge w:val="restart"/>
            <w:tcBorders>
              <w:top w:val="single" w:sz="4" w:space="0" w:color="000000"/>
              <w:left w:val="single" w:sz="4" w:space="0" w:color="000000"/>
              <w:right w:val="single" w:sz="4" w:space="0" w:color="000000"/>
            </w:tcBorders>
            <w:shd w:val="clear" w:color="auto" w:fill="auto"/>
            <w:vAlign w:val="center"/>
          </w:tcPr>
          <w:p w:rsidR="009A2EFF" w:rsidRDefault="009A2EFF">
            <w:pPr>
              <w:pStyle w:val="LO-normal"/>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A2EFF" w:rsidRDefault="009A2EFF">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pPr>
            <w:r>
              <w:rPr>
                <w:rFonts w:ascii="Verdana" w:eastAsia="Verdana" w:hAnsi="Verdana" w:cs="Verdana"/>
                <w:sz w:val="16"/>
                <w:szCs w:val="16"/>
              </w:rPr>
              <w:t>R$</w:t>
            </w:r>
          </w:p>
        </w:tc>
      </w:tr>
      <w:tr w:rsidR="009A2EFF" w:rsidTr="002A4124">
        <w:trPr>
          <w:trHeight w:val="231"/>
          <w:jc w:val="center"/>
        </w:trPr>
        <w:tc>
          <w:tcPr>
            <w:tcW w:w="637" w:type="dxa"/>
            <w:vMerge/>
            <w:tcBorders>
              <w:left w:val="single" w:sz="4" w:space="0" w:color="000000"/>
              <w:right w:val="single" w:sz="4" w:space="0" w:color="000000"/>
            </w:tcBorders>
            <w:shd w:val="clear" w:color="auto" w:fill="auto"/>
            <w:vAlign w:val="center"/>
          </w:tcPr>
          <w:p w:rsidR="009A2EFF" w:rsidRDefault="009A2EFF">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spacing w:line="276" w:lineRule="auto"/>
              <w:jc w:val="center"/>
            </w:pPr>
            <w:r>
              <w:rPr>
                <w:rFonts w:ascii="Verdana" w:eastAsia="Verdana" w:hAnsi="Verdana" w:cs="Verdana"/>
                <w:b/>
                <w:sz w:val="16"/>
                <w:szCs w:val="16"/>
              </w:rPr>
              <w:t>2</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A2EFF" w:rsidRDefault="009A2EFF">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pPr>
            <w:r>
              <w:rPr>
                <w:rFonts w:ascii="Verdana" w:eastAsia="Verdana" w:hAnsi="Verdana" w:cs="Verdana"/>
                <w:sz w:val="16"/>
                <w:szCs w:val="16"/>
              </w:rPr>
              <w:t>R$</w:t>
            </w:r>
          </w:p>
        </w:tc>
      </w:tr>
      <w:tr w:rsidR="009A2EFF" w:rsidTr="002A4124">
        <w:trPr>
          <w:trHeight w:val="160"/>
          <w:jc w:val="center"/>
        </w:trPr>
        <w:tc>
          <w:tcPr>
            <w:tcW w:w="637" w:type="dxa"/>
            <w:vMerge/>
            <w:tcBorders>
              <w:left w:val="single" w:sz="4" w:space="0" w:color="000000"/>
              <w:right w:val="single" w:sz="4" w:space="0" w:color="000000"/>
            </w:tcBorders>
            <w:shd w:val="clear" w:color="auto" w:fill="auto"/>
            <w:vAlign w:val="center"/>
          </w:tcPr>
          <w:p w:rsidR="009A2EFF" w:rsidRDefault="009A2EFF">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spacing w:line="276" w:lineRule="auto"/>
              <w:jc w:val="center"/>
            </w:pPr>
            <w:r>
              <w:rPr>
                <w:rFonts w:ascii="Verdana" w:eastAsia="Verdana" w:hAnsi="Verdana" w:cs="Verdana"/>
                <w:b/>
                <w:sz w:val="16"/>
                <w:szCs w:val="16"/>
              </w:rPr>
              <w:t>3</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A2EFF" w:rsidRDefault="009A2EFF">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pPr>
              <w:pStyle w:val="LO-normal"/>
            </w:pPr>
            <w:r>
              <w:rPr>
                <w:rFonts w:ascii="Verdana" w:eastAsia="Verdana" w:hAnsi="Verdana" w:cs="Verdana"/>
                <w:sz w:val="16"/>
                <w:szCs w:val="16"/>
              </w:rPr>
              <w:t>R$</w:t>
            </w:r>
          </w:p>
        </w:tc>
      </w:tr>
      <w:tr w:rsidR="009A2EFF" w:rsidTr="002A4124">
        <w:trPr>
          <w:trHeight w:val="160"/>
          <w:jc w:val="center"/>
        </w:trPr>
        <w:tc>
          <w:tcPr>
            <w:tcW w:w="637" w:type="dxa"/>
            <w:vMerge/>
            <w:tcBorders>
              <w:left w:val="single" w:sz="4" w:space="0" w:color="000000"/>
              <w:right w:val="single" w:sz="4" w:space="0" w:color="000000"/>
            </w:tcBorders>
            <w:shd w:val="clear" w:color="auto" w:fill="auto"/>
            <w:vAlign w:val="center"/>
          </w:tcPr>
          <w:p w:rsidR="009A2EFF" w:rsidRDefault="009A2EFF" w:rsidP="009A2EFF">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b/>
                <w:sz w:val="16"/>
                <w:szCs w:val="16"/>
              </w:rPr>
            </w:pPr>
            <w:r>
              <w:rPr>
                <w:rFonts w:ascii="Verdana" w:eastAsia="Verdana" w:hAnsi="Verdana" w:cs="Verdana"/>
                <w:b/>
                <w:sz w:val="16"/>
                <w:szCs w:val="16"/>
              </w:rPr>
              <w:t>4</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A2EFF" w:rsidRDefault="009A2EFF" w:rsidP="009A2EFF">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r>
      <w:tr w:rsidR="009A2EFF" w:rsidTr="002A4124">
        <w:trPr>
          <w:trHeight w:val="160"/>
          <w:jc w:val="center"/>
        </w:trPr>
        <w:tc>
          <w:tcPr>
            <w:tcW w:w="637" w:type="dxa"/>
            <w:vMerge/>
            <w:tcBorders>
              <w:left w:val="single" w:sz="4" w:space="0" w:color="000000"/>
              <w:right w:val="single" w:sz="4" w:space="0" w:color="000000"/>
            </w:tcBorders>
            <w:shd w:val="clear" w:color="auto" w:fill="auto"/>
            <w:vAlign w:val="center"/>
          </w:tcPr>
          <w:p w:rsidR="009A2EFF" w:rsidRDefault="009A2EFF" w:rsidP="009A2EFF">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b/>
                <w:sz w:val="16"/>
                <w:szCs w:val="16"/>
              </w:rPr>
            </w:pPr>
            <w:r>
              <w:rPr>
                <w:rFonts w:ascii="Verdana" w:eastAsia="Verdana" w:hAnsi="Verdana" w:cs="Verdana"/>
                <w:b/>
                <w:sz w:val="16"/>
                <w:szCs w:val="16"/>
              </w:rPr>
              <w:t>5</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A2EFF" w:rsidRDefault="009A2EFF" w:rsidP="009A2EFF">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r>
      <w:tr w:rsidR="009A2EFF" w:rsidTr="002A4124">
        <w:trPr>
          <w:trHeight w:val="160"/>
          <w:jc w:val="center"/>
        </w:trPr>
        <w:tc>
          <w:tcPr>
            <w:tcW w:w="637" w:type="dxa"/>
            <w:vMerge/>
            <w:tcBorders>
              <w:left w:val="single" w:sz="4" w:space="0" w:color="000000"/>
              <w:right w:val="single" w:sz="4" w:space="0" w:color="000000"/>
            </w:tcBorders>
            <w:shd w:val="clear" w:color="auto" w:fill="auto"/>
            <w:vAlign w:val="center"/>
          </w:tcPr>
          <w:p w:rsidR="009A2EFF" w:rsidRDefault="009A2EFF" w:rsidP="009A2EFF">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b/>
                <w:sz w:val="16"/>
                <w:szCs w:val="16"/>
              </w:rPr>
            </w:pPr>
            <w:r>
              <w:rPr>
                <w:rFonts w:ascii="Verdana" w:eastAsia="Verdana" w:hAnsi="Verdana" w:cs="Verdana"/>
                <w:b/>
                <w:sz w:val="16"/>
                <w:szCs w:val="16"/>
              </w:rPr>
              <w:t>6</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A2EFF" w:rsidRDefault="009A2EFF" w:rsidP="009A2EFF">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r>
      <w:tr w:rsidR="009A2EFF" w:rsidTr="002A4124">
        <w:trPr>
          <w:trHeight w:val="160"/>
          <w:jc w:val="center"/>
        </w:trPr>
        <w:tc>
          <w:tcPr>
            <w:tcW w:w="637" w:type="dxa"/>
            <w:vMerge/>
            <w:tcBorders>
              <w:left w:val="single" w:sz="4" w:space="0" w:color="000000"/>
              <w:right w:val="single" w:sz="4" w:space="0" w:color="000000"/>
            </w:tcBorders>
            <w:shd w:val="clear" w:color="auto" w:fill="auto"/>
            <w:vAlign w:val="center"/>
          </w:tcPr>
          <w:p w:rsidR="009A2EFF" w:rsidRDefault="009A2EFF" w:rsidP="009A2EFF">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b/>
                <w:sz w:val="16"/>
                <w:szCs w:val="16"/>
              </w:rPr>
            </w:pPr>
            <w:r>
              <w:rPr>
                <w:rFonts w:ascii="Verdana" w:eastAsia="Verdana" w:hAnsi="Verdana" w:cs="Verdana"/>
                <w:b/>
                <w:sz w:val="16"/>
                <w:szCs w:val="16"/>
              </w:rPr>
              <w:t>7</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A2EFF" w:rsidRDefault="009A2EFF" w:rsidP="009A2EFF">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r>
      <w:tr w:rsidR="009A2EFF" w:rsidTr="002A4124">
        <w:trPr>
          <w:trHeight w:val="160"/>
          <w:jc w:val="center"/>
        </w:trPr>
        <w:tc>
          <w:tcPr>
            <w:tcW w:w="637" w:type="dxa"/>
            <w:vMerge/>
            <w:tcBorders>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b/>
                <w:sz w:val="16"/>
                <w:szCs w:val="16"/>
              </w:rPr>
            </w:pPr>
            <w:r>
              <w:rPr>
                <w:rFonts w:ascii="Verdana" w:eastAsia="Verdana" w:hAnsi="Verdana" w:cs="Verdana"/>
                <w:b/>
                <w:sz w:val="16"/>
                <w:szCs w:val="16"/>
              </w:rPr>
              <w:t>8</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A2EFF" w:rsidRDefault="009A2EFF" w:rsidP="009A2EFF">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EFF" w:rsidRDefault="009A2EFF" w:rsidP="009A2EFF">
            <w:pPr>
              <w:pStyle w:val="LO-normal"/>
            </w:pPr>
            <w:r>
              <w:rPr>
                <w:rFonts w:ascii="Verdana" w:eastAsia="Verdana" w:hAnsi="Verdana" w:cs="Verdana"/>
                <w:sz w:val="16"/>
                <w:szCs w:val="16"/>
              </w:rPr>
              <w:t>R$</w:t>
            </w:r>
          </w:p>
        </w:tc>
      </w:tr>
      <w:tr w:rsidR="00B82D85">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rsidR="00B82D85" w:rsidRDefault="007359AC">
            <w:pPr>
              <w:pStyle w:val="LO-normal"/>
              <w:spacing w:line="276" w:lineRule="auto"/>
              <w:rPr>
                <w:b/>
              </w:rPr>
            </w:pPr>
            <w:r>
              <w:rPr>
                <w:rFonts w:ascii="Verdana" w:eastAsia="Verdana" w:hAnsi="Verdana" w:cs="Verdana"/>
                <w:b/>
                <w:sz w:val="16"/>
                <w:szCs w:val="16"/>
              </w:rPr>
              <w:t xml:space="preserve">R$ </w:t>
            </w:r>
          </w:p>
        </w:tc>
      </w:tr>
    </w:tbl>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A validade da proposta é de 60 (sessenta) dias.</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(Local), ____ de ____________ de 2023.</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_________________________________________________</w:t>
      </w:r>
    </w:p>
    <w:p w:rsidR="00B82D85" w:rsidRDefault="007359AC">
      <w:pPr>
        <w:pStyle w:val="LO-normal"/>
        <w:spacing w:line="276" w:lineRule="auto"/>
        <w:jc w:val="center"/>
      </w:pPr>
      <w:r>
        <w:rPr>
          <w:rFonts w:ascii="Verdana" w:eastAsia="Verdana" w:hAnsi="Verdana" w:cs="Verdana"/>
        </w:rPr>
        <w:t>(nome e assinatura do representante)</w:t>
      </w: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7359AC">
      <w:pPr>
        <w:pStyle w:val="LO-normal"/>
        <w:spacing w:line="276" w:lineRule="auto"/>
        <w:jc w:val="center"/>
      </w:pPr>
      <w:r>
        <w:rPr>
          <w:rFonts w:ascii="Verdana" w:eastAsia="Verdana" w:hAnsi="Verdana" w:cs="Verdana"/>
          <w:b/>
        </w:rPr>
        <w:t>ANEXO VI – DECLARAÇÃO DE CUMPRIMENTO DO ARTIGO 7º, XXXIII, DA CONSTITUIÇÃO FEDERAL</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both"/>
      </w:pPr>
      <w:r>
        <w:rPr>
          <w:rFonts w:ascii="Verdana" w:eastAsia="Verdana" w:hAnsi="Verdana" w:cs="Verdana"/>
        </w:rPr>
        <w:t>À</w:t>
      </w:r>
    </w:p>
    <w:p w:rsidR="00B82D85" w:rsidRDefault="007359AC">
      <w:pPr>
        <w:pStyle w:val="LO-normal"/>
        <w:spacing w:line="276" w:lineRule="auto"/>
        <w:jc w:val="both"/>
      </w:pPr>
      <w:r>
        <w:rPr>
          <w:rFonts w:ascii="Verdana" w:eastAsia="Verdana" w:hAnsi="Verdana" w:cs="Verdana"/>
        </w:rPr>
        <w:t>DEFENSORIA PÚBLICA DO ESTADO DO PARANÁ</w:t>
      </w:r>
    </w:p>
    <w:p w:rsidR="00B82D85" w:rsidRDefault="007359AC">
      <w:pPr>
        <w:pStyle w:val="LO-normal"/>
        <w:spacing w:line="276" w:lineRule="auto"/>
        <w:jc w:val="both"/>
      </w:pPr>
      <w:r>
        <w:rPr>
          <w:rFonts w:ascii="Verdana" w:eastAsia="Verdana" w:hAnsi="Verdana" w:cs="Verdana"/>
        </w:rPr>
        <w:t xml:space="preserve">EDITAL DE PREGÃO ELETRÔNICO Nº </w:t>
      </w:r>
      <w:r w:rsidR="00711913">
        <w:rPr>
          <w:rFonts w:ascii="Verdana" w:eastAsia="Verdana" w:hAnsi="Verdana" w:cs="Verdana"/>
        </w:rPr>
        <w:t>025</w:t>
      </w:r>
      <w:r>
        <w:rPr>
          <w:rFonts w:ascii="Verdana" w:eastAsia="Verdana" w:hAnsi="Verdana" w:cs="Verdana"/>
        </w:rPr>
        <w:t>/2023</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Por ser expressão de verdade, firmamos a presente declaração.</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(Local), ____ de __________ de 2023.</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w:t>
      </w:r>
    </w:p>
    <w:p w:rsidR="00B82D85" w:rsidRDefault="007359AC">
      <w:pPr>
        <w:pStyle w:val="LO-normal"/>
        <w:spacing w:line="276" w:lineRule="auto"/>
        <w:jc w:val="center"/>
      </w:pPr>
      <w:r>
        <w:rPr>
          <w:rFonts w:ascii="Verdana" w:eastAsia="Verdana" w:hAnsi="Verdana" w:cs="Verdana"/>
        </w:rPr>
        <w:t>Nome da Empresa</w:t>
      </w:r>
    </w:p>
    <w:p w:rsidR="00B82D85" w:rsidRDefault="007359AC">
      <w:pPr>
        <w:pStyle w:val="LO-normal"/>
        <w:spacing w:line="276" w:lineRule="auto"/>
        <w:jc w:val="center"/>
      </w:pPr>
      <w:r>
        <w:rPr>
          <w:rFonts w:ascii="Verdana" w:eastAsia="Verdana" w:hAnsi="Verdana" w:cs="Verdana"/>
        </w:rPr>
        <w:t>CNPJ:</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_________________________________________________________</w:t>
      </w:r>
    </w:p>
    <w:p w:rsidR="00B82D85" w:rsidRDefault="007359AC">
      <w:pPr>
        <w:pStyle w:val="LO-normal"/>
        <w:spacing w:line="276" w:lineRule="auto"/>
        <w:jc w:val="center"/>
      </w:pPr>
      <w:r>
        <w:rPr>
          <w:rFonts w:ascii="Verdana" w:eastAsia="Verdana" w:hAnsi="Verdana" w:cs="Verdana"/>
        </w:rPr>
        <w:t>Representante Legal ou Procurador do Licitante</w:t>
      </w:r>
    </w:p>
    <w:p w:rsidR="00B82D85" w:rsidRDefault="007359AC">
      <w:pPr>
        <w:pStyle w:val="LO-normal"/>
        <w:spacing w:line="276" w:lineRule="auto"/>
        <w:jc w:val="center"/>
      </w:pPr>
      <w:r>
        <w:rPr>
          <w:rFonts w:ascii="Verdana" w:eastAsia="Verdana" w:hAnsi="Verdana" w:cs="Verdana"/>
        </w:rPr>
        <w:t>(nome e assinatura)</w:t>
      </w: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b/>
        </w:rPr>
        <w:t>ANEXO VII – DECLARAÇÃO DE IDONEIDADE</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both"/>
      </w:pPr>
      <w:r>
        <w:rPr>
          <w:rFonts w:ascii="Verdana" w:eastAsia="Verdana" w:hAnsi="Verdana" w:cs="Verdana"/>
        </w:rPr>
        <w:t>À</w:t>
      </w:r>
    </w:p>
    <w:p w:rsidR="00B82D85" w:rsidRDefault="007359AC">
      <w:pPr>
        <w:pStyle w:val="LO-normal"/>
        <w:spacing w:line="276" w:lineRule="auto"/>
        <w:jc w:val="both"/>
      </w:pPr>
      <w:r>
        <w:rPr>
          <w:rFonts w:ascii="Verdana" w:eastAsia="Verdana" w:hAnsi="Verdana" w:cs="Verdana"/>
        </w:rPr>
        <w:t>DEFENSORIA PÚBLICA DO ESTADO DO PARANÁ</w:t>
      </w:r>
    </w:p>
    <w:p w:rsidR="00B82D85" w:rsidRDefault="007359AC">
      <w:pPr>
        <w:pStyle w:val="LO-normal"/>
        <w:spacing w:line="276" w:lineRule="auto"/>
        <w:jc w:val="both"/>
      </w:pPr>
      <w:r>
        <w:rPr>
          <w:rFonts w:ascii="Verdana" w:eastAsia="Verdana" w:hAnsi="Verdana" w:cs="Verdana"/>
        </w:rPr>
        <w:t xml:space="preserve">EDITAL DE PREGÃO ELETRÔNICO Nº </w:t>
      </w:r>
      <w:r w:rsidR="00711913">
        <w:rPr>
          <w:rFonts w:ascii="Verdana" w:eastAsia="Verdana" w:hAnsi="Verdana" w:cs="Verdana"/>
        </w:rPr>
        <w:t>025</w:t>
      </w:r>
      <w:r>
        <w:rPr>
          <w:rFonts w:ascii="Verdana" w:eastAsia="Verdana" w:hAnsi="Verdana" w:cs="Verdana"/>
        </w:rPr>
        <w:t>/2023</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both"/>
      </w:pPr>
      <w:r>
        <w:rPr>
          <w:rFonts w:ascii="Verdana" w:eastAsia="Verdana" w:hAnsi="Verdana" w:cs="Verdana"/>
        </w:rPr>
        <w:t>Por ser expressão da verdade, firmamos a presente.</w:t>
      </w: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(Local), _____ de _____________ de 2023.</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w:t>
      </w:r>
    </w:p>
    <w:p w:rsidR="00B82D85" w:rsidRDefault="007359AC">
      <w:pPr>
        <w:pStyle w:val="LO-normal"/>
        <w:spacing w:line="276" w:lineRule="auto"/>
        <w:jc w:val="center"/>
      </w:pPr>
      <w:r>
        <w:rPr>
          <w:rFonts w:ascii="Verdana" w:eastAsia="Verdana" w:hAnsi="Verdana" w:cs="Verdana"/>
        </w:rPr>
        <w:t>Nome da Empresa</w:t>
      </w:r>
    </w:p>
    <w:p w:rsidR="00B82D85" w:rsidRDefault="007359AC">
      <w:pPr>
        <w:pStyle w:val="LO-normal"/>
        <w:spacing w:line="276" w:lineRule="auto"/>
        <w:jc w:val="center"/>
      </w:pPr>
      <w:r>
        <w:rPr>
          <w:rFonts w:ascii="Verdana" w:eastAsia="Verdana" w:hAnsi="Verdana" w:cs="Verdana"/>
        </w:rPr>
        <w:t>CNPJ:</w:t>
      </w: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_____________________________________________________________</w:t>
      </w:r>
    </w:p>
    <w:p w:rsidR="00B82D85" w:rsidRDefault="007359AC">
      <w:pPr>
        <w:pStyle w:val="LO-normal"/>
        <w:spacing w:line="276" w:lineRule="auto"/>
        <w:jc w:val="center"/>
      </w:pPr>
      <w:r>
        <w:rPr>
          <w:rFonts w:ascii="Verdana" w:eastAsia="Verdana" w:hAnsi="Verdana" w:cs="Verdana"/>
        </w:rPr>
        <w:t>Representante Legal ou Procurador do Licitante</w:t>
      </w:r>
    </w:p>
    <w:p w:rsidR="00B82D85" w:rsidRDefault="007359AC">
      <w:pPr>
        <w:pStyle w:val="LO-normal"/>
        <w:spacing w:line="276" w:lineRule="auto"/>
        <w:jc w:val="center"/>
      </w:pPr>
      <w:r>
        <w:rPr>
          <w:rFonts w:ascii="Verdana" w:eastAsia="Verdana" w:hAnsi="Verdana" w:cs="Verdana"/>
        </w:rPr>
        <w:t>(nome e assinatura)</w:t>
      </w: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B82D85">
      <w:pPr>
        <w:pStyle w:val="LO-normal"/>
        <w:spacing w:after="200" w:line="276" w:lineRule="auto"/>
        <w:rPr>
          <w:rFonts w:ascii="Verdana" w:eastAsia="Verdana" w:hAnsi="Verdana" w:cs="Verdana"/>
        </w:rPr>
      </w:pPr>
    </w:p>
    <w:p w:rsidR="00B82D85" w:rsidRDefault="007359AC">
      <w:pPr>
        <w:pStyle w:val="LO-normal"/>
        <w:spacing w:line="276" w:lineRule="auto"/>
        <w:jc w:val="center"/>
      </w:pPr>
      <w:bookmarkStart w:id="1" w:name="_heading=h.2et92p0" w:colFirst="0" w:colLast="0"/>
      <w:bookmarkEnd w:id="1"/>
      <w:r>
        <w:rPr>
          <w:rFonts w:ascii="Verdana" w:eastAsia="Verdana" w:hAnsi="Verdana" w:cs="Verdana"/>
          <w:b/>
        </w:rPr>
        <w:lastRenderedPageBreak/>
        <w:t>ANEXO VIII – DECLARAÇÃO DE ATENDIMENTO À POLÍTICA PÚBLICA AMBIENTAL DE LICITAÇÃO SUSTENTÁVEL</w:t>
      </w:r>
    </w:p>
    <w:p w:rsidR="00B82D85" w:rsidRDefault="00B82D85">
      <w:pPr>
        <w:pStyle w:val="LO-normal"/>
        <w:spacing w:line="276" w:lineRule="auto"/>
        <w:jc w:val="center"/>
        <w:rPr>
          <w:rFonts w:ascii="Verdana" w:eastAsia="Verdana" w:hAnsi="Verdana" w:cs="Verdana"/>
          <w:b/>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both"/>
      </w:pPr>
      <w:r>
        <w:rPr>
          <w:rFonts w:ascii="Verdana" w:eastAsia="Verdana" w:hAnsi="Verdana" w:cs="Verdana"/>
        </w:rPr>
        <w:t>À</w:t>
      </w:r>
    </w:p>
    <w:p w:rsidR="00B82D85" w:rsidRDefault="007359AC">
      <w:pPr>
        <w:pStyle w:val="LO-normal"/>
        <w:spacing w:line="276" w:lineRule="auto"/>
        <w:jc w:val="both"/>
      </w:pPr>
      <w:r>
        <w:rPr>
          <w:rFonts w:ascii="Verdana" w:eastAsia="Verdana" w:hAnsi="Verdana" w:cs="Verdana"/>
        </w:rPr>
        <w:t>DEFENSORIA PÚBLICA DO ESTADO DO PARANÁ</w:t>
      </w:r>
    </w:p>
    <w:p w:rsidR="00B82D85" w:rsidRDefault="007359AC">
      <w:pPr>
        <w:pStyle w:val="LO-normal"/>
        <w:spacing w:line="276" w:lineRule="auto"/>
        <w:jc w:val="both"/>
      </w:pPr>
      <w:r>
        <w:rPr>
          <w:rFonts w:ascii="Verdana" w:eastAsia="Verdana" w:hAnsi="Verdana" w:cs="Verdana"/>
        </w:rPr>
        <w:t xml:space="preserve">EDITAL DE PREGÃO ELETRÔNICO Nº </w:t>
      </w:r>
      <w:r w:rsidR="00711913">
        <w:rPr>
          <w:rFonts w:ascii="Verdana" w:eastAsia="Verdana" w:hAnsi="Verdana" w:cs="Verdana"/>
        </w:rPr>
        <w:t>025</w:t>
      </w:r>
      <w:r>
        <w:rPr>
          <w:rFonts w:ascii="Verdana" w:eastAsia="Verdana" w:hAnsi="Verdana" w:cs="Verdana"/>
        </w:rPr>
        <w:t>/2023</w:t>
      </w:r>
    </w:p>
    <w:p w:rsidR="00B82D85" w:rsidRDefault="00B82D85">
      <w:pPr>
        <w:pStyle w:val="LO-normal"/>
        <w:spacing w:line="276" w:lineRule="auto"/>
        <w:jc w:val="center"/>
        <w:rPr>
          <w:rFonts w:ascii="Verdana" w:eastAsia="Verdana" w:hAnsi="Verdana" w:cs="Verdana"/>
          <w:b/>
        </w:rPr>
      </w:pPr>
    </w:p>
    <w:p w:rsidR="00B82D85" w:rsidRDefault="00B82D85">
      <w:pPr>
        <w:pStyle w:val="LO-normal"/>
        <w:spacing w:line="276" w:lineRule="auto"/>
        <w:jc w:val="center"/>
        <w:rPr>
          <w:rFonts w:ascii="Verdana" w:eastAsia="Verdana" w:hAnsi="Verdana" w:cs="Verdana"/>
          <w:b/>
        </w:rPr>
      </w:pPr>
    </w:p>
    <w:p w:rsidR="00B82D85" w:rsidRDefault="00B82D85">
      <w:pPr>
        <w:pStyle w:val="LO-normal"/>
        <w:spacing w:line="276" w:lineRule="auto"/>
        <w:jc w:val="both"/>
        <w:rPr>
          <w:rFonts w:ascii="Verdana" w:eastAsia="Verdana" w:hAnsi="Verdana" w:cs="Verdana"/>
          <w:b/>
        </w:rPr>
      </w:pPr>
    </w:p>
    <w:p w:rsidR="00B82D85" w:rsidRDefault="007359AC">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(Local), ____ de __________ de 2023.</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w:t>
      </w:r>
    </w:p>
    <w:p w:rsidR="00B82D85" w:rsidRDefault="007359AC">
      <w:pPr>
        <w:pStyle w:val="LO-normal"/>
        <w:spacing w:line="276" w:lineRule="auto"/>
        <w:jc w:val="center"/>
      </w:pPr>
      <w:r>
        <w:rPr>
          <w:rFonts w:ascii="Verdana" w:eastAsia="Verdana" w:hAnsi="Verdana" w:cs="Verdana"/>
        </w:rPr>
        <w:t>Nome da Empresa</w:t>
      </w:r>
    </w:p>
    <w:p w:rsidR="00B82D85" w:rsidRDefault="007359AC">
      <w:pPr>
        <w:pStyle w:val="LO-normal"/>
        <w:spacing w:line="276" w:lineRule="auto"/>
        <w:jc w:val="center"/>
      </w:pPr>
      <w:r>
        <w:rPr>
          <w:rFonts w:ascii="Verdana" w:eastAsia="Verdana" w:hAnsi="Verdana" w:cs="Verdana"/>
        </w:rPr>
        <w:t>CNPJ:</w:t>
      </w: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B82D85">
      <w:pPr>
        <w:pStyle w:val="LO-normal"/>
        <w:spacing w:line="276" w:lineRule="auto"/>
        <w:jc w:val="center"/>
        <w:rPr>
          <w:rFonts w:ascii="Verdana" w:eastAsia="Verdana" w:hAnsi="Verdana" w:cs="Verdana"/>
        </w:rPr>
      </w:pPr>
    </w:p>
    <w:p w:rsidR="00B82D85" w:rsidRDefault="007359AC">
      <w:pPr>
        <w:pStyle w:val="LO-normal"/>
        <w:spacing w:line="276" w:lineRule="auto"/>
        <w:jc w:val="center"/>
      </w:pPr>
      <w:r>
        <w:rPr>
          <w:rFonts w:ascii="Verdana" w:eastAsia="Verdana" w:hAnsi="Verdana" w:cs="Verdana"/>
        </w:rPr>
        <w:t>_________________________________________________________</w:t>
      </w:r>
    </w:p>
    <w:p w:rsidR="00B82D85" w:rsidRDefault="007359AC">
      <w:pPr>
        <w:pStyle w:val="LO-normal"/>
        <w:spacing w:line="276" w:lineRule="auto"/>
        <w:jc w:val="center"/>
      </w:pPr>
      <w:r>
        <w:rPr>
          <w:rFonts w:ascii="Verdana" w:eastAsia="Verdana" w:hAnsi="Verdana" w:cs="Verdana"/>
        </w:rPr>
        <w:t>Representante Legal ou Procurador do Licitante</w:t>
      </w:r>
    </w:p>
    <w:p w:rsidR="00B82D85" w:rsidRDefault="007359AC">
      <w:pPr>
        <w:pStyle w:val="LO-normal"/>
        <w:spacing w:line="276" w:lineRule="auto"/>
        <w:jc w:val="center"/>
      </w:pPr>
      <w:r>
        <w:rPr>
          <w:rFonts w:ascii="Verdana" w:eastAsia="Verdana" w:hAnsi="Verdana" w:cs="Verdana"/>
        </w:rPr>
        <w:t>(nome e assinatura)</w:t>
      </w: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B82D85">
      <w:pPr>
        <w:pStyle w:val="LO-normal"/>
        <w:spacing w:line="276" w:lineRule="auto"/>
        <w:jc w:val="center"/>
        <w:rPr>
          <w:rFonts w:ascii="Verdana" w:eastAsia="Verdana" w:hAnsi="Verdana" w:cs="Verdana"/>
          <w:b/>
          <w:highlight w:val="green"/>
        </w:rPr>
      </w:pPr>
    </w:p>
    <w:p w:rsidR="00B82D85" w:rsidRDefault="007359AC">
      <w:pPr>
        <w:pStyle w:val="LO-normal"/>
        <w:spacing w:line="276" w:lineRule="auto"/>
        <w:jc w:val="center"/>
      </w:pPr>
      <w:r>
        <w:rPr>
          <w:rFonts w:ascii="Verdana" w:eastAsia="Verdana" w:hAnsi="Verdana" w:cs="Verdana"/>
          <w:b/>
        </w:rPr>
        <w:lastRenderedPageBreak/>
        <w:t>ANEXO IX – MINUTA DA ATA DE REGISTRO DE PREÇOS</w:t>
      </w:r>
    </w:p>
    <w:p w:rsidR="00B82D85" w:rsidRDefault="00B82D85">
      <w:pPr>
        <w:pStyle w:val="LO-normal"/>
        <w:spacing w:line="276" w:lineRule="auto"/>
        <w:jc w:val="both"/>
        <w:rPr>
          <w:rFonts w:ascii="Verdana" w:eastAsia="Verdana" w:hAnsi="Verdana" w:cs="Verdana"/>
          <w:b/>
        </w:rPr>
      </w:pPr>
    </w:p>
    <w:p w:rsidR="00B82D85" w:rsidRDefault="007359AC">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711913">
        <w:rPr>
          <w:rFonts w:ascii="Verdana" w:eastAsia="Verdana" w:hAnsi="Verdana" w:cs="Verdana"/>
        </w:rPr>
        <w:t>025</w:t>
      </w:r>
      <w:r>
        <w:rPr>
          <w:rFonts w:ascii="Verdana" w:eastAsia="Verdana" w:hAnsi="Verdana" w:cs="Verdana"/>
        </w:rPr>
        <w:t xml:space="preserve">/2023 (Protocolo nº </w:t>
      </w:r>
      <w:r w:rsidR="00711913" w:rsidRPr="00711913">
        <w:rPr>
          <w:rFonts w:ascii="Verdana" w:eastAsia="Verdana" w:hAnsi="Verdana" w:cs="Verdana"/>
        </w:rPr>
        <w:t>18.343.519-1</w:t>
      </w:r>
      <w:r>
        <w:rPr>
          <w:rFonts w:ascii="Verdana" w:eastAsia="Verdana" w:hAnsi="Verdana" w:cs="Verdana"/>
        </w:rPr>
        <w:t>)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rsidR="00B82D85" w:rsidRDefault="00B82D85">
      <w:pPr>
        <w:pStyle w:val="LO-normal"/>
        <w:spacing w:line="276" w:lineRule="auto"/>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b/>
        </w:rPr>
        <w:t>1. OBJETO</w:t>
      </w:r>
    </w:p>
    <w:p w:rsidR="00B82D85" w:rsidRDefault="007359AC">
      <w:pPr>
        <w:pStyle w:val="LO-normal"/>
        <w:spacing w:line="276" w:lineRule="auto"/>
        <w:jc w:val="both"/>
      </w:pPr>
      <w:r>
        <w:rPr>
          <w:rFonts w:ascii="Verdana" w:eastAsia="Verdana" w:hAnsi="Verdana" w:cs="Verdana"/>
        </w:rPr>
        <w:t xml:space="preserve">1.1. O objeto da presente Ata de Registro de Preços é a aquisição de </w:t>
      </w:r>
      <w:r w:rsidR="00711913" w:rsidRPr="00711913">
        <w:rPr>
          <w:rFonts w:ascii="Verdana" w:eastAsia="Verdana" w:hAnsi="Verdana" w:cs="Verdana"/>
        </w:rPr>
        <w:t>aquisição de utensílios de copa em inox e alumínio, para a Defensoria Pública do Estado do Paraná</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rsidR="00B82D85" w:rsidRDefault="00B82D85">
      <w:pPr>
        <w:pStyle w:val="LO-normal"/>
        <w:spacing w:line="276" w:lineRule="auto"/>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b/>
        </w:rPr>
        <w:t>2. FORNECEDORES E PREÇOS REGISTRADOS</w:t>
      </w:r>
    </w:p>
    <w:p w:rsidR="00B82D85" w:rsidRDefault="007359AC">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rsidR="00B82D85" w:rsidRDefault="00B82D85">
      <w:pPr>
        <w:pStyle w:val="LO-normal"/>
        <w:spacing w:line="276" w:lineRule="auto"/>
        <w:jc w:val="both"/>
        <w:rPr>
          <w:rFonts w:ascii="Verdana" w:eastAsia="Verdana" w:hAnsi="Verdana" w:cs="Verdana"/>
        </w:rPr>
      </w:pPr>
    </w:p>
    <w:tbl>
      <w:tblPr>
        <w:tblStyle w:val="a5"/>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B82D85">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Valor Total</w:t>
            </w:r>
          </w:p>
        </w:tc>
      </w:tr>
      <w:tr w:rsidR="00B82D85">
        <w:trPr>
          <w:trHeight w:val="160"/>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B82D85">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B82D85">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B82D85" w:rsidRDefault="00B82D85">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pPr>
            <w:r>
              <w:rPr>
                <w:rFonts w:ascii="Verdana" w:eastAsia="Verdana" w:hAnsi="Verdana" w:cs="Verdana"/>
                <w:sz w:val="16"/>
                <w:szCs w:val="16"/>
              </w:rPr>
              <w:t>R$</w:t>
            </w:r>
          </w:p>
        </w:tc>
      </w:tr>
      <w:tr w:rsidR="00B82D85">
        <w:trPr>
          <w:trHeight w:val="23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B82D85">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2</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B82D85">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B82D85">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B82D85" w:rsidRDefault="00B82D85">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pPr>
            <w:r>
              <w:rPr>
                <w:rFonts w:ascii="Verdana" w:eastAsia="Verdana" w:hAnsi="Verdana" w:cs="Verdana"/>
                <w:sz w:val="16"/>
                <w:szCs w:val="16"/>
              </w:rPr>
              <w:t>R$</w:t>
            </w:r>
          </w:p>
        </w:tc>
      </w:tr>
      <w:tr w:rsidR="00B82D85">
        <w:trPr>
          <w:trHeight w:val="160"/>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B82D85">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3</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B82D85">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B82D85">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B82D85" w:rsidRDefault="00B82D85">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pPr>
            <w:r>
              <w:rPr>
                <w:rFonts w:ascii="Verdana" w:eastAsia="Verdana" w:hAnsi="Verdana" w:cs="Verdana"/>
                <w:sz w:val="16"/>
                <w:szCs w:val="16"/>
              </w:rPr>
              <w:t>R$</w:t>
            </w:r>
          </w:p>
        </w:tc>
      </w:tr>
      <w:tr w:rsidR="00B82D85">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rsidR="00B82D85" w:rsidRDefault="007359AC">
            <w:pPr>
              <w:pStyle w:val="LO-normal"/>
              <w:spacing w:line="276" w:lineRule="auto"/>
              <w:rPr>
                <w:b/>
              </w:rPr>
            </w:pPr>
            <w:r>
              <w:rPr>
                <w:rFonts w:ascii="Verdana" w:eastAsia="Verdana" w:hAnsi="Verdana" w:cs="Verdana"/>
                <w:b/>
                <w:sz w:val="16"/>
                <w:szCs w:val="16"/>
              </w:rPr>
              <w:t xml:space="preserve">R$ </w:t>
            </w:r>
          </w:p>
        </w:tc>
      </w:tr>
    </w:tbl>
    <w:p w:rsidR="00B82D85" w:rsidRDefault="00B82D85">
      <w:pPr>
        <w:pStyle w:val="LO-normal"/>
        <w:spacing w:line="276" w:lineRule="auto"/>
        <w:jc w:val="both"/>
        <w:rPr>
          <w:rFonts w:ascii="Verdana" w:eastAsia="Verdana" w:hAnsi="Verdana" w:cs="Verdana"/>
        </w:rPr>
      </w:pPr>
    </w:p>
    <w:tbl>
      <w:tblPr>
        <w:tblStyle w:val="a6"/>
        <w:tblW w:w="9263" w:type="dxa"/>
        <w:jc w:val="center"/>
        <w:tblInd w:w="0" w:type="dxa"/>
        <w:tblLayout w:type="fixed"/>
        <w:tblLook w:val="0400" w:firstRow="0" w:lastRow="0" w:firstColumn="0" w:lastColumn="0" w:noHBand="0" w:noVBand="1"/>
      </w:tblPr>
      <w:tblGrid>
        <w:gridCol w:w="9263"/>
      </w:tblGrid>
      <w:tr w:rsidR="00B82D85">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85" w:rsidRDefault="007359AC">
            <w:pPr>
              <w:pStyle w:val="LO-normal"/>
              <w:spacing w:before="120" w:line="360" w:lineRule="auto"/>
            </w:pPr>
            <w:r>
              <w:rPr>
                <w:rFonts w:ascii="Verdana" w:eastAsia="Verdana" w:hAnsi="Verdana" w:cs="Verdana"/>
                <w:color w:val="000000"/>
                <w:sz w:val="16"/>
                <w:szCs w:val="16"/>
              </w:rPr>
              <w:t>EMPRESA:</w:t>
            </w:r>
          </w:p>
          <w:p w:rsidR="00B82D85" w:rsidRDefault="007359AC">
            <w:pPr>
              <w:pStyle w:val="LO-normal"/>
              <w:spacing w:line="360" w:lineRule="auto"/>
            </w:pPr>
            <w:r>
              <w:rPr>
                <w:rFonts w:ascii="Verdana" w:eastAsia="Verdana" w:hAnsi="Verdana" w:cs="Verdana"/>
                <w:color w:val="000000"/>
                <w:sz w:val="16"/>
                <w:szCs w:val="16"/>
              </w:rPr>
              <w:t>DENOMINAÇÃO SOCIAL:</w:t>
            </w:r>
          </w:p>
          <w:p w:rsidR="00B82D85" w:rsidRDefault="007359AC">
            <w:pPr>
              <w:pStyle w:val="LO-normal"/>
              <w:spacing w:line="360" w:lineRule="auto"/>
            </w:pPr>
            <w:r>
              <w:rPr>
                <w:rFonts w:ascii="Verdana" w:eastAsia="Verdana" w:hAnsi="Verdana" w:cs="Verdana"/>
                <w:color w:val="000000"/>
                <w:sz w:val="16"/>
                <w:szCs w:val="16"/>
              </w:rPr>
              <w:t>INSCRIÇÃO ESTADUAL OU MUNICIPAL:</w:t>
            </w:r>
          </w:p>
          <w:p w:rsidR="00B82D85" w:rsidRDefault="007359AC">
            <w:pPr>
              <w:pStyle w:val="LO-normal"/>
              <w:spacing w:line="360" w:lineRule="auto"/>
            </w:pPr>
            <w:r>
              <w:rPr>
                <w:rFonts w:ascii="Verdana" w:eastAsia="Verdana" w:hAnsi="Verdana" w:cs="Verdana"/>
                <w:color w:val="000000"/>
                <w:sz w:val="16"/>
                <w:szCs w:val="16"/>
              </w:rPr>
              <w:t>CNPJ:</w:t>
            </w:r>
          </w:p>
          <w:p w:rsidR="00B82D85" w:rsidRDefault="007359AC">
            <w:pPr>
              <w:pStyle w:val="LO-normal"/>
              <w:spacing w:line="360" w:lineRule="auto"/>
            </w:pPr>
            <w:r>
              <w:rPr>
                <w:rFonts w:ascii="Verdana" w:eastAsia="Verdana" w:hAnsi="Verdana" w:cs="Verdana"/>
                <w:color w:val="000000"/>
                <w:sz w:val="16"/>
                <w:szCs w:val="16"/>
              </w:rPr>
              <w:t>ENDEREÇO:</w:t>
            </w:r>
          </w:p>
          <w:p w:rsidR="00B82D85" w:rsidRDefault="007359AC">
            <w:pPr>
              <w:pStyle w:val="LO-normal"/>
              <w:spacing w:line="360" w:lineRule="auto"/>
            </w:pPr>
            <w:r>
              <w:rPr>
                <w:rFonts w:ascii="Verdana" w:eastAsia="Verdana" w:hAnsi="Verdana" w:cs="Verdana"/>
                <w:color w:val="000000"/>
                <w:sz w:val="16"/>
                <w:szCs w:val="16"/>
              </w:rPr>
              <w:t>E-MAIL:</w:t>
            </w:r>
          </w:p>
          <w:p w:rsidR="00B82D85" w:rsidRDefault="007359AC">
            <w:pPr>
              <w:pStyle w:val="LO-normal"/>
              <w:spacing w:line="360" w:lineRule="auto"/>
            </w:pPr>
            <w:r>
              <w:rPr>
                <w:rFonts w:ascii="Verdana" w:eastAsia="Verdana" w:hAnsi="Verdana" w:cs="Verdana"/>
                <w:color w:val="000000"/>
                <w:sz w:val="16"/>
                <w:szCs w:val="16"/>
              </w:rPr>
              <w:t>TELEFONE:</w:t>
            </w:r>
          </w:p>
          <w:p w:rsidR="00B82D85" w:rsidRDefault="007359AC">
            <w:pPr>
              <w:pStyle w:val="LO-normal"/>
              <w:spacing w:line="360" w:lineRule="auto"/>
            </w:pPr>
            <w:r>
              <w:rPr>
                <w:rFonts w:ascii="Verdana" w:eastAsia="Verdana" w:hAnsi="Verdana" w:cs="Verdana"/>
                <w:color w:val="000000"/>
                <w:sz w:val="16"/>
                <w:szCs w:val="16"/>
              </w:rPr>
              <w:t>RESPONSÁVEL:</w:t>
            </w:r>
          </w:p>
          <w:p w:rsidR="00B82D85" w:rsidRDefault="007359AC">
            <w:pPr>
              <w:pStyle w:val="LO-normal"/>
              <w:spacing w:line="360" w:lineRule="auto"/>
            </w:pPr>
            <w:r>
              <w:rPr>
                <w:rFonts w:ascii="Verdana" w:eastAsia="Verdana" w:hAnsi="Verdana" w:cs="Verdana"/>
                <w:color w:val="000000"/>
                <w:sz w:val="16"/>
                <w:szCs w:val="16"/>
              </w:rPr>
              <w:t>BANCO, AGÊNCIA E CONTA PARA PAGAMENTO:</w:t>
            </w:r>
          </w:p>
        </w:tc>
      </w:tr>
    </w:tbl>
    <w:p w:rsidR="00B82D85" w:rsidRDefault="00B82D85">
      <w:pPr>
        <w:pStyle w:val="LO-normal"/>
        <w:spacing w:line="276" w:lineRule="auto"/>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rsidR="00B82D85" w:rsidRDefault="00B82D85">
      <w:pPr>
        <w:pStyle w:val="LO-normal"/>
        <w:jc w:val="both"/>
        <w:rPr>
          <w:rFonts w:ascii="Verdana" w:eastAsia="Verdana" w:hAnsi="Verdana" w:cs="Verdana"/>
        </w:rPr>
      </w:pPr>
    </w:p>
    <w:p w:rsidR="00B82D85" w:rsidRDefault="007359AC">
      <w:pPr>
        <w:pStyle w:val="LO-normal"/>
        <w:jc w:val="both"/>
      </w:pPr>
      <w:r>
        <w:rPr>
          <w:rFonts w:ascii="Verdana" w:eastAsia="Verdana" w:hAnsi="Verdana" w:cs="Verdana"/>
        </w:rPr>
        <w:t>Fornecedor: [nome do licitante vencedor]</w:t>
      </w:r>
    </w:p>
    <w:p w:rsidR="00B82D85" w:rsidRDefault="00B82D85">
      <w:pPr>
        <w:pStyle w:val="LO-normal"/>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2.1.2. Restaram classificados em segundo e terceiro lugares, respectivamente:</w:t>
      </w:r>
    </w:p>
    <w:p w:rsidR="00B82D85" w:rsidRDefault="00B82D85">
      <w:pPr>
        <w:pStyle w:val="LO-normal"/>
        <w:spacing w:line="276" w:lineRule="auto"/>
        <w:jc w:val="both"/>
        <w:rPr>
          <w:rFonts w:ascii="Verdana" w:eastAsia="Verdana" w:hAnsi="Verdana" w:cs="Verdana"/>
        </w:rPr>
      </w:pPr>
    </w:p>
    <w:p w:rsidR="00B82D85" w:rsidRDefault="007359AC">
      <w:pPr>
        <w:pStyle w:val="LO-normal"/>
        <w:jc w:val="both"/>
      </w:pPr>
      <w:r>
        <w:rPr>
          <w:rFonts w:ascii="Verdana" w:eastAsia="Verdana" w:hAnsi="Verdana" w:cs="Verdana"/>
        </w:rPr>
        <w:t>Fornecedor: [nome do licitante]</w:t>
      </w:r>
    </w:p>
    <w:p w:rsidR="00B82D85" w:rsidRDefault="00B82D85">
      <w:pPr>
        <w:pStyle w:val="LO-normal"/>
        <w:jc w:val="both"/>
        <w:rPr>
          <w:rFonts w:ascii="Verdana" w:eastAsia="Verdana" w:hAnsi="Verdana" w:cs="Verdana"/>
        </w:rPr>
      </w:pPr>
    </w:p>
    <w:p w:rsidR="00B82D85" w:rsidRDefault="007359AC">
      <w:pPr>
        <w:pStyle w:val="LO-normal"/>
        <w:jc w:val="both"/>
      </w:pPr>
      <w:r>
        <w:rPr>
          <w:rFonts w:ascii="Verdana" w:eastAsia="Verdana" w:hAnsi="Verdana" w:cs="Verdana"/>
        </w:rPr>
        <w:t>Fornecedor: [nome do licitante]</w:t>
      </w:r>
    </w:p>
    <w:p w:rsidR="00B82D85" w:rsidRDefault="00B82D85">
      <w:pPr>
        <w:pStyle w:val="LO-normal"/>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b/>
        </w:rPr>
        <w:t>3. VALIDADE DA ATA</w:t>
      </w:r>
    </w:p>
    <w:p w:rsidR="00B82D85" w:rsidRDefault="007359AC">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rsidR="00B82D85" w:rsidRDefault="00B82D85">
      <w:pPr>
        <w:pStyle w:val="LO-normal"/>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b/>
        </w:rPr>
        <w:t>4. ENTREGA, FISCALIZAÇÃO E RECEBIMENTO</w:t>
      </w:r>
    </w:p>
    <w:p w:rsidR="00B82D85" w:rsidRDefault="007359AC">
      <w:pPr>
        <w:pStyle w:val="LO-normal"/>
        <w:jc w:val="both"/>
      </w:pPr>
      <w:r>
        <w:rPr>
          <w:rFonts w:ascii="Verdana" w:eastAsia="Verdana" w:hAnsi="Verdana" w:cs="Verdana"/>
        </w:rPr>
        <w:t>4.1. Os critérios de entrega, fiscalização e recebimento estão previstos no edital e no termo de referência (Anexo I).</w:t>
      </w:r>
    </w:p>
    <w:p w:rsidR="00B82D85" w:rsidRDefault="00B82D85">
      <w:pPr>
        <w:pStyle w:val="LO-normal"/>
        <w:jc w:val="both"/>
        <w:rPr>
          <w:rFonts w:ascii="Verdana" w:eastAsia="Verdana" w:hAnsi="Verdana" w:cs="Verdana"/>
        </w:rPr>
      </w:pPr>
    </w:p>
    <w:p w:rsidR="00B82D85" w:rsidRDefault="007359AC">
      <w:pPr>
        <w:pStyle w:val="LO-normal"/>
        <w:jc w:val="both"/>
      </w:pPr>
      <w:r>
        <w:rPr>
          <w:rFonts w:ascii="Verdana" w:eastAsia="Verdana" w:hAnsi="Verdana" w:cs="Verdana"/>
          <w:b/>
        </w:rPr>
        <w:t>5. FORMA DE PAGAMENTO</w:t>
      </w:r>
    </w:p>
    <w:p w:rsidR="00B82D85" w:rsidRDefault="007359AC">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rsidR="00B82D85" w:rsidRDefault="00B82D85">
      <w:pPr>
        <w:pStyle w:val="LO-normal"/>
        <w:spacing w:line="276" w:lineRule="auto"/>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b/>
        </w:rPr>
        <w:t>6. REVISÃO DOS PREÇOS REGISTRADOS</w:t>
      </w:r>
    </w:p>
    <w:p w:rsidR="00B82D85" w:rsidRDefault="007359AC">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rsidR="00B82D85" w:rsidRDefault="007359AC">
      <w:pPr>
        <w:pStyle w:val="LO-normal"/>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rsidR="00B82D85" w:rsidRDefault="007359AC">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rsidR="00B82D85" w:rsidRDefault="007359AC">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rsidR="00B82D85" w:rsidRDefault="007359AC">
      <w:pPr>
        <w:pStyle w:val="LO-normal"/>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B82D85" w:rsidRDefault="007359AC">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rsidR="00B82D85" w:rsidRDefault="00B82D85">
      <w:pPr>
        <w:pStyle w:val="LO-normal"/>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b/>
        </w:rPr>
        <w:t>7. CANCELAMENTO DO REGISTRO DE PREÇOS</w:t>
      </w:r>
    </w:p>
    <w:p w:rsidR="00B82D85" w:rsidRDefault="007359AC">
      <w:pPr>
        <w:pStyle w:val="LO-normal"/>
        <w:spacing w:line="276" w:lineRule="auto"/>
        <w:jc w:val="both"/>
      </w:pPr>
      <w:r>
        <w:rPr>
          <w:rFonts w:ascii="Verdana" w:eastAsia="Verdana" w:hAnsi="Verdana" w:cs="Verdana"/>
        </w:rPr>
        <w:t>7.1. O registro do preço do fornecedor será cancelado pela DPE-PR quando o fornecedor:</w:t>
      </w:r>
    </w:p>
    <w:p w:rsidR="00B82D85" w:rsidRDefault="007359AC">
      <w:pPr>
        <w:pStyle w:val="LO-normal"/>
        <w:spacing w:line="276" w:lineRule="auto"/>
        <w:jc w:val="both"/>
      </w:pPr>
      <w:r>
        <w:rPr>
          <w:rFonts w:ascii="Verdana" w:eastAsia="Verdana" w:hAnsi="Verdana" w:cs="Verdana"/>
        </w:rPr>
        <w:t>I - for liberado;</w:t>
      </w:r>
    </w:p>
    <w:p w:rsidR="00B82D85" w:rsidRDefault="007359AC">
      <w:pPr>
        <w:pStyle w:val="LO-normal"/>
        <w:spacing w:line="276" w:lineRule="auto"/>
        <w:jc w:val="both"/>
      </w:pPr>
      <w:r>
        <w:rPr>
          <w:rFonts w:ascii="Verdana" w:eastAsia="Verdana" w:hAnsi="Verdana" w:cs="Verdana"/>
        </w:rPr>
        <w:t>II - descumprir as condições da ata de registro de preços, sem justificativa aceitável;</w:t>
      </w:r>
    </w:p>
    <w:p w:rsidR="00B82D85" w:rsidRDefault="007359AC">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rsidR="00B82D85" w:rsidRDefault="007359AC">
      <w:pPr>
        <w:pStyle w:val="LO-normal"/>
        <w:spacing w:line="276" w:lineRule="auto"/>
        <w:jc w:val="both"/>
      </w:pPr>
      <w:r>
        <w:rPr>
          <w:rFonts w:ascii="Verdana" w:eastAsia="Verdana" w:hAnsi="Verdana" w:cs="Verdana"/>
        </w:rPr>
        <w:t>IV - sofrer sanção prevista no inciso IV, do art. 150, da Lei nº 15.608, de 2007;</w:t>
      </w:r>
    </w:p>
    <w:p w:rsidR="00B82D85" w:rsidRDefault="007359AC">
      <w:pPr>
        <w:pStyle w:val="LO-normal"/>
        <w:spacing w:line="276" w:lineRule="auto"/>
        <w:jc w:val="both"/>
      </w:pPr>
      <w:r>
        <w:rPr>
          <w:rFonts w:ascii="Verdana" w:eastAsia="Verdana" w:hAnsi="Verdana" w:cs="Verdana"/>
        </w:rPr>
        <w:t>V - demonstrar fato superveniente, decorrente de caso fortuito ou força maior, que prejudique o cumprimento da ata.</w:t>
      </w:r>
    </w:p>
    <w:p w:rsidR="00B82D85" w:rsidRDefault="007359AC">
      <w:pPr>
        <w:pStyle w:val="LO-normal"/>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rsidR="00B82D85" w:rsidRDefault="007359AC">
      <w:pPr>
        <w:pStyle w:val="LO-normal"/>
        <w:spacing w:line="276" w:lineRule="auto"/>
        <w:jc w:val="both"/>
      </w:pPr>
      <w:r>
        <w:rPr>
          <w:rFonts w:ascii="Verdana" w:eastAsia="Verdana" w:hAnsi="Verdana" w:cs="Verdana"/>
        </w:rPr>
        <w:lastRenderedPageBreak/>
        <w:t>I - pelo decurso do seu prazo de vigência;</w:t>
      </w:r>
    </w:p>
    <w:p w:rsidR="00B82D85" w:rsidRDefault="007359AC">
      <w:pPr>
        <w:pStyle w:val="LO-normal"/>
        <w:spacing w:line="276" w:lineRule="auto"/>
        <w:jc w:val="both"/>
      </w:pPr>
      <w:r>
        <w:rPr>
          <w:rFonts w:ascii="Verdana" w:eastAsia="Verdana" w:hAnsi="Verdana" w:cs="Verdana"/>
        </w:rPr>
        <w:t>II - se não restarem fornecedores registrados;</w:t>
      </w:r>
    </w:p>
    <w:p w:rsidR="00B82D85" w:rsidRDefault="007359AC">
      <w:pPr>
        <w:pStyle w:val="LO-normal"/>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rsidR="00B82D85" w:rsidRDefault="007359AC">
      <w:pPr>
        <w:pStyle w:val="LO-normal"/>
        <w:spacing w:line="276" w:lineRule="auto"/>
        <w:jc w:val="both"/>
      </w:pPr>
      <w:r>
        <w:rPr>
          <w:rFonts w:ascii="Verdana" w:eastAsia="Verdana" w:hAnsi="Verdana" w:cs="Verdana"/>
        </w:rPr>
        <w:t>IV - por razões de interesse público, devidamente justificadas.</w:t>
      </w:r>
    </w:p>
    <w:p w:rsidR="00B82D85" w:rsidRDefault="007359AC">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rsidR="00B82D85" w:rsidRDefault="007359AC">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rsidR="00B82D85" w:rsidRDefault="00B82D85">
      <w:pPr>
        <w:pStyle w:val="LO-normal"/>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b/>
        </w:rPr>
        <w:t>8. SANÇÕES ADMINISTRATIVAS</w:t>
      </w:r>
    </w:p>
    <w:p w:rsidR="00B82D85" w:rsidRDefault="007359AC">
      <w:pPr>
        <w:pStyle w:val="LO-normal"/>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rsidR="00B82D85" w:rsidRDefault="007359AC">
      <w:pPr>
        <w:pStyle w:val="LO-normal"/>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rsidR="00B82D85" w:rsidRDefault="007359AC">
      <w:pPr>
        <w:pStyle w:val="LO-normal"/>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B82D85" w:rsidRDefault="007359AC">
      <w:pPr>
        <w:pStyle w:val="LO-normal"/>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rsidR="00B82D85" w:rsidRDefault="007359AC">
      <w:pPr>
        <w:pStyle w:val="LO-normal"/>
        <w:spacing w:line="276" w:lineRule="auto"/>
        <w:jc w:val="both"/>
        <w:rPr>
          <w:rFonts w:ascii="Verdana" w:eastAsia="Verdana" w:hAnsi="Verdana" w:cs="Verdana"/>
        </w:rPr>
      </w:pPr>
      <w:r>
        <w:rPr>
          <w:rFonts w:ascii="Verdana" w:eastAsia="Verdana" w:hAnsi="Verdana" w:cs="Verdana"/>
        </w:rPr>
        <w:t>a) não manutenção da proposta;</w:t>
      </w:r>
    </w:p>
    <w:p w:rsidR="00B82D85" w:rsidRDefault="007359AC">
      <w:pPr>
        <w:pStyle w:val="LO-normal"/>
        <w:spacing w:line="276" w:lineRule="auto"/>
        <w:jc w:val="both"/>
        <w:rPr>
          <w:rFonts w:ascii="Verdana" w:eastAsia="Verdana" w:hAnsi="Verdana" w:cs="Verdana"/>
        </w:rPr>
      </w:pPr>
      <w:r>
        <w:rPr>
          <w:rFonts w:ascii="Verdana" w:eastAsia="Verdana" w:hAnsi="Verdana" w:cs="Verdana"/>
        </w:rPr>
        <w:t>b) apresentação de declaração falsa;</w:t>
      </w:r>
    </w:p>
    <w:p w:rsidR="00B82D85" w:rsidRDefault="007359AC">
      <w:pPr>
        <w:pStyle w:val="LO-normal"/>
        <w:spacing w:line="276" w:lineRule="auto"/>
        <w:jc w:val="both"/>
        <w:rPr>
          <w:rFonts w:ascii="Verdana" w:eastAsia="Verdana" w:hAnsi="Verdana" w:cs="Verdana"/>
        </w:rPr>
      </w:pPr>
      <w:r>
        <w:rPr>
          <w:rFonts w:ascii="Verdana" w:eastAsia="Verdana" w:hAnsi="Verdana" w:cs="Verdana"/>
        </w:rPr>
        <w:t>c) não apresentação de documento na fase de saneamento;</w:t>
      </w:r>
    </w:p>
    <w:p w:rsidR="00B82D85" w:rsidRDefault="007359AC">
      <w:pPr>
        <w:pStyle w:val="LO-normal"/>
        <w:spacing w:line="276" w:lineRule="auto"/>
        <w:jc w:val="both"/>
        <w:rPr>
          <w:rFonts w:ascii="Verdana" w:eastAsia="Verdana" w:hAnsi="Verdana" w:cs="Verdana"/>
        </w:rPr>
      </w:pPr>
      <w:r>
        <w:rPr>
          <w:rFonts w:ascii="Verdana" w:eastAsia="Verdana" w:hAnsi="Verdana" w:cs="Verdana"/>
        </w:rPr>
        <w:t>d) inexecução contratual;</w:t>
      </w:r>
    </w:p>
    <w:p w:rsidR="00B82D85" w:rsidRDefault="007359AC">
      <w:pPr>
        <w:pStyle w:val="LO-normal"/>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rsidR="00B82D85" w:rsidRDefault="007359AC">
      <w:pPr>
        <w:pStyle w:val="LO-normal"/>
        <w:spacing w:line="276" w:lineRule="auto"/>
        <w:jc w:val="both"/>
        <w:rPr>
          <w:rFonts w:ascii="Verdana" w:eastAsia="Verdana" w:hAnsi="Verdana" w:cs="Verdana"/>
        </w:rPr>
      </w:pPr>
      <w:r>
        <w:rPr>
          <w:rFonts w:ascii="Verdana" w:eastAsia="Verdana" w:hAnsi="Verdana" w:cs="Verdana"/>
        </w:rPr>
        <w:t>f) abandono da execução contratual;</w:t>
      </w:r>
    </w:p>
    <w:p w:rsidR="00B82D85" w:rsidRDefault="007359AC">
      <w:pPr>
        <w:pStyle w:val="LO-normal"/>
        <w:spacing w:line="276" w:lineRule="auto"/>
        <w:jc w:val="both"/>
        <w:rPr>
          <w:rFonts w:ascii="Verdana" w:eastAsia="Verdana" w:hAnsi="Verdana" w:cs="Verdana"/>
        </w:rPr>
      </w:pPr>
      <w:r>
        <w:rPr>
          <w:rFonts w:ascii="Verdana" w:eastAsia="Verdana" w:hAnsi="Verdana" w:cs="Verdana"/>
        </w:rPr>
        <w:t>g) apresentação de documento falso;</w:t>
      </w:r>
    </w:p>
    <w:p w:rsidR="00B82D85" w:rsidRDefault="007359AC">
      <w:pPr>
        <w:pStyle w:val="LO-normal"/>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rsidR="00B82D85" w:rsidRDefault="007359AC">
      <w:pPr>
        <w:pStyle w:val="LO-normal"/>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rsidR="00B82D85" w:rsidRDefault="007359AC">
      <w:pPr>
        <w:pStyle w:val="LO-normal"/>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rsidR="00B82D85" w:rsidRDefault="007359AC">
      <w:pPr>
        <w:pStyle w:val="LO-normal"/>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rsidR="00B82D85" w:rsidRDefault="007359AC">
      <w:pPr>
        <w:pStyle w:val="LO-normal"/>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rsidR="00B82D85" w:rsidRDefault="007359AC">
      <w:pPr>
        <w:pStyle w:val="LO-normal"/>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rsidR="00B82D85" w:rsidRDefault="007359AC">
      <w:pPr>
        <w:pStyle w:val="LO-normal"/>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rsidR="00B82D85" w:rsidRDefault="007359AC">
      <w:pPr>
        <w:pStyle w:val="LO-normal"/>
        <w:spacing w:line="276" w:lineRule="auto"/>
        <w:jc w:val="both"/>
        <w:rPr>
          <w:rFonts w:ascii="Verdana" w:eastAsia="Verdana" w:hAnsi="Verdana" w:cs="Verdana"/>
        </w:rPr>
      </w:pPr>
      <w:r>
        <w:rPr>
          <w:rFonts w:ascii="Verdana" w:eastAsia="Verdana" w:hAnsi="Verdana" w:cs="Verdana"/>
        </w:rPr>
        <w:lastRenderedPageBreak/>
        <w:t>a) recusa injustificada, após ser considerado adjudicatário, a assinar o contrato, aceitar ou retirar o instrumento equivalente, dentro do prazo estabelecido pela Administração;</w:t>
      </w:r>
    </w:p>
    <w:p w:rsidR="00B82D85" w:rsidRDefault="007359AC">
      <w:pPr>
        <w:pStyle w:val="LO-normal"/>
        <w:spacing w:line="276" w:lineRule="auto"/>
        <w:jc w:val="both"/>
        <w:rPr>
          <w:rFonts w:ascii="Verdana" w:eastAsia="Verdana" w:hAnsi="Verdana" w:cs="Verdana"/>
        </w:rPr>
      </w:pPr>
      <w:r>
        <w:rPr>
          <w:rFonts w:ascii="Verdana" w:eastAsia="Verdana" w:hAnsi="Verdana" w:cs="Verdana"/>
        </w:rPr>
        <w:t>b) não manutenção da proposta;</w:t>
      </w:r>
    </w:p>
    <w:p w:rsidR="00B82D85" w:rsidRDefault="007359AC">
      <w:pPr>
        <w:pStyle w:val="LO-normal"/>
        <w:spacing w:line="276" w:lineRule="auto"/>
        <w:jc w:val="both"/>
        <w:rPr>
          <w:rFonts w:ascii="Verdana" w:eastAsia="Verdana" w:hAnsi="Verdana" w:cs="Verdana"/>
        </w:rPr>
      </w:pPr>
      <w:r>
        <w:rPr>
          <w:rFonts w:ascii="Verdana" w:eastAsia="Verdana" w:hAnsi="Verdana" w:cs="Verdana"/>
        </w:rPr>
        <w:t>c) abandono da execução contratual; e</w:t>
      </w:r>
    </w:p>
    <w:p w:rsidR="00B82D85" w:rsidRDefault="007359AC">
      <w:pPr>
        <w:pStyle w:val="LO-normal"/>
        <w:spacing w:line="276" w:lineRule="auto"/>
        <w:jc w:val="both"/>
        <w:rPr>
          <w:rFonts w:ascii="Verdana" w:eastAsia="Verdana" w:hAnsi="Verdana" w:cs="Verdana"/>
        </w:rPr>
      </w:pPr>
      <w:r>
        <w:rPr>
          <w:rFonts w:ascii="Verdana" w:eastAsia="Verdana" w:hAnsi="Verdana" w:cs="Verdana"/>
        </w:rPr>
        <w:t>d) inexecução contratual.</w:t>
      </w:r>
    </w:p>
    <w:p w:rsidR="00B82D85" w:rsidRDefault="007359AC">
      <w:pPr>
        <w:pStyle w:val="LO-normal"/>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Pública,pelo prazo máximo de 05 (cinco) anos, aplicada à licitante que:</w:t>
      </w:r>
    </w:p>
    <w:p w:rsidR="00B82D85" w:rsidRDefault="007359AC">
      <w:pPr>
        <w:pStyle w:val="LO-normal"/>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rsidR="00B82D85" w:rsidRDefault="007359AC">
      <w:pPr>
        <w:pStyle w:val="LO-normal"/>
        <w:spacing w:line="276" w:lineRule="auto"/>
        <w:jc w:val="both"/>
        <w:rPr>
          <w:rFonts w:ascii="Verdana" w:eastAsia="Verdana" w:hAnsi="Verdana" w:cs="Verdana"/>
        </w:rPr>
      </w:pPr>
      <w:r>
        <w:rPr>
          <w:rFonts w:ascii="Verdana" w:eastAsia="Verdana" w:hAnsi="Verdana" w:cs="Verdana"/>
        </w:rPr>
        <w:t>b) apresentação de documento falso;</w:t>
      </w:r>
    </w:p>
    <w:p w:rsidR="00B82D85" w:rsidRDefault="007359AC">
      <w:pPr>
        <w:pStyle w:val="LO-normal"/>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rsidR="00B82D85" w:rsidRDefault="007359AC">
      <w:pPr>
        <w:pStyle w:val="LO-normal"/>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rsidR="00B82D85" w:rsidRDefault="007359AC">
      <w:pPr>
        <w:pStyle w:val="LO-normal"/>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rsidR="00B82D85" w:rsidRDefault="007359AC">
      <w:pPr>
        <w:pStyle w:val="LO-normal"/>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rsidR="00B82D85" w:rsidRDefault="007359AC">
      <w:pPr>
        <w:pStyle w:val="LO-normal"/>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rsidR="00B82D85" w:rsidRDefault="007359AC">
      <w:pPr>
        <w:pStyle w:val="LO-normal"/>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rsidR="00B82D85" w:rsidRDefault="007359AC">
      <w:pPr>
        <w:pStyle w:val="LO-normal"/>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rsidR="00B82D85" w:rsidRDefault="00B82D85">
      <w:pPr>
        <w:pStyle w:val="LO-normal"/>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b/>
        </w:rPr>
        <w:t>9. LEGISLAÇÃO APLICÁVEL</w:t>
      </w:r>
    </w:p>
    <w:p w:rsidR="00B82D85" w:rsidRDefault="007359AC">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rsidR="00B82D85" w:rsidRDefault="007359AC">
      <w:pPr>
        <w:pStyle w:val="LO-normal"/>
        <w:spacing w:line="276" w:lineRule="auto"/>
        <w:jc w:val="both"/>
      </w:pPr>
      <w:r>
        <w:rPr>
          <w:rFonts w:ascii="Verdana" w:eastAsia="Verdana" w:hAnsi="Verdana" w:cs="Verdana"/>
        </w:rPr>
        <w:t>9.2.  Os diplomas legais acima indicados aplicam-se especialmente quanto aos casos omissos.</w:t>
      </w:r>
    </w:p>
    <w:p w:rsidR="00B82D85" w:rsidRDefault="00B82D85">
      <w:pPr>
        <w:pStyle w:val="LO-normal"/>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b/>
        </w:rPr>
        <w:t>10. DISPOSIÇÕES GERAIS</w:t>
      </w:r>
    </w:p>
    <w:p w:rsidR="00B82D85" w:rsidRDefault="007359AC">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B82D85" w:rsidRDefault="007359AC">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rsidR="00B82D85" w:rsidRDefault="00B82D85">
      <w:pPr>
        <w:pStyle w:val="LO-normal"/>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rsidR="00B82D85" w:rsidRDefault="00B82D85">
      <w:pPr>
        <w:pStyle w:val="LO-normal"/>
        <w:jc w:val="both"/>
        <w:rPr>
          <w:rFonts w:ascii="Verdana" w:eastAsia="Verdana" w:hAnsi="Verdana" w:cs="Verdana"/>
          <w:highlight w:val="green"/>
        </w:rPr>
      </w:pPr>
    </w:p>
    <w:p w:rsidR="00B82D85" w:rsidRDefault="007359AC">
      <w:pPr>
        <w:pStyle w:val="LO-normal"/>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rsidR="00B82D85" w:rsidRDefault="00B82D85">
      <w:pPr>
        <w:pStyle w:val="LO-normal"/>
        <w:jc w:val="both"/>
        <w:rPr>
          <w:rFonts w:ascii="Verdana" w:eastAsia="Verdana" w:hAnsi="Verdana" w:cs="Verdana"/>
        </w:rPr>
      </w:pPr>
    </w:p>
    <w:p w:rsidR="00B82D85" w:rsidRDefault="00B82D85">
      <w:pPr>
        <w:pStyle w:val="LO-normal"/>
        <w:jc w:val="both"/>
        <w:rPr>
          <w:rFonts w:ascii="Verdana" w:eastAsia="Verdana" w:hAnsi="Verdana" w:cs="Verdana"/>
        </w:rPr>
      </w:pPr>
    </w:p>
    <w:p w:rsidR="00B82D85" w:rsidRDefault="00B82D85">
      <w:pPr>
        <w:pStyle w:val="LO-normal"/>
        <w:jc w:val="both"/>
        <w:rPr>
          <w:rFonts w:ascii="Verdana" w:eastAsia="Verdana" w:hAnsi="Verdana" w:cs="Verdana"/>
        </w:rPr>
      </w:pPr>
    </w:p>
    <w:p w:rsidR="00B82D85" w:rsidRDefault="007359AC">
      <w:pPr>
        <w:pStyle w:val="LO-normal"/>
        <w:jc w:val="both"/>
      </w:pPr>
      <w:r>
        <w:rPr>
          <w:rFonts w:ascii="Verdana" w:eastAsia="Verdana" w:hAnsi="Verdana" w:cs="Verdana"/>
        </w:rPr>
        <w:t>_________________________________________________</w:t>
      </w:r>
    </w:p>
    <w:p w:rsidR="00B82D85" w:rsidRDefault="007359AC">
      <w:pPr>
        <w:pStyle w:val="LO-normal"/>
        <w:spacing w:line="276" w:lineRule="auto"/>
        <w:jc w:val="both"/>
      </w:pPr>
      <w:r>
        <w:rPr>
          <w:rFonts w:ascii="Verdana" w:eastAsia="Verdana" w:hAnsi="Verdana" w:cs="Verdana"/>
        </w:rPr>
        <w:lastRenderedPageBreak/>
        <w:t>Defensor Público-Geral</w:t>
      </w:r>
    </w:p>
    <w:p w:rsidR="00B82D85" w:rsidRDefault="00B82D85">
      <w:pPr>
        <w:pStyle w:val="LO-normal"/>
        <w:jc w:val="both"/>
        <w:rPr>
          <w:rFonts w:ascii="Verdana" w:eastAsia="Verdana" w:hAnsi="Verdana" w:cs="Verdana"/>
        </w:rPr>
      </w:pPr>
    </w:p>
    <w:p w:rsidR="00B82D85" w:rsidRDefault="00B82D85">
      <w:pPr>
        <w:pStyle w:val="LO-normal"/>
        <w:jc w:val="both"/>
        <w:rPr>
          <w:rFonts w:ascii="Verdana" w:eastAsia="Verdana" w:hAnsi="Verdana" w:cs="Verdana"/>
        </w:rPr>
      </w:pPr>
    </w:p>
    <w:p w:rsidR="00B82D85" w:rsidRDefault="007359AC">
      <w:pPr>
        <w:pStyle w:val="LO-normal"/>
        <w:jc w:val="both"/>
      </w:pPr>
      <w:r>
        <w:rPr>
          <w:rFonts w:ascii="Verdana" w:eastAsia="Verdana" w:hAnsi="Verdana" w:cs="Verdana"/>
        </w:rPr>
        <w:t>___________________________________________________</w:t>
      </w:r>
    </w:p>
    <w:p w:rsidR="00B82D85" w:rsidRDefault="007359AC">
      <w:pPr>
        <w:pStyle w:val="LO-normal"/>
        <w:spacing w:line="276" w:lineRule="auto"/>
        <w:jc w:val="both"/>
      </w:pPr>
      <w:r>
        <w:rPr>
          <w:rFonts w:ascii="Verdana" w:eastAsia="Verdana" w:hAnsi="Verdana" w:cs="Verdana"/>
        </w:rPr>
        <w:t>Nome da empresa</w:t>
      </w:r>
    </w:p>
    <w:p w:rsidR="00B82D85" w:rsidRDefault="007359AC">
      <w:pPr>
        <w:pStyle w:val="LO-normal"/>
        <w:spacing w:line="276" w:lineRule="auto"/>
        <w:jc w:val="both"/>
      </w:pPr>
      <w:r>
        <w:rPr>
          <w:rFonts w:ascii="Verdana" w:eastAsia="Verdana" w:hAnsi="Verdana" w:cs="Verdana"/>
        </w:rPr>
        <w:t>Nome do Representante Legal</w:t>
      </w:r>
    </w:p>
    <w:p w:rsidR="00B82D85" w:rsidRDefault="00B82D85">
      <w:pPr>
        <w:pStyle w:val="LO-normal"/>
        <w:spacing w:line="276" w:lineRule="auto"/>
        <w:jc w:val="both"/>
        <w:rPr>
          <w:rFonts w:ascii="Verdana" w:eastAsia="Verdana" w:hAnsi="Verdana" w:cs="Verdana"/>
        </w:rPr>
      </w:pPr>
    </w:p>
    <w:p w:rsidR="00B82D85" w:rsidRDefault="00B82D85">
      <w:pPr>
        <w:pStyle w:val="LO-normal"/>
        <w:spacing w:line="276" w:lineRule="auto"/>
        <w:jc w:val="both"/>
        <w:rPr>
          <w:rFonts w:ascii="Verdana" w:eastAsia="Verdana" w:hAnsi="Verdana" w:cs="Verdana"/>
        </w:rPr>
      </w:pPr>
    </w:p>
    <w:p w:rsidR="00B82D85" w:rsidRDefault="007359AC">
      <w:pPr>
        <w:pStyle w:val="LO-normal"/>
        <w:spacing w:line="276" w:lineRule="auto"/>
        <w:jc w:val="both"/>
      </w:pPr>
      <w:r>
        <w:rPr>
          <w:rFonts w:ascii="Verdana" w:eastAsia="Verdana" w:hAnsi="Verdana" w:cs="Verdana"/>
        </w:rPr>
        <w:t>TESTEMUNHAS</w:t>
      </w:r>
    </w:p>
    <w:p w:rsidR="00B82D85" w:rsidRDefault="007359AC">
      <w:pPr>
        <w:pStyle w:val="LO-normal"/>
        <w:spacing w:line="276" w:lineRule="auto"/>
        <w:jc w:val="both"/>
      </w:pPr>
      <w:r>
        <w:rPr>
          <w:rFonts w:ascii="Verdana" w:eastAsia="Verdana" w:hAnsi="Verdana" w:cs="Verdana"/>
        </w:rPr>
        <w:t>Nome:                                                                               Nome:</w:t>
      </w:r>
    </w:p>
    <w:p w:rsidR="00B82D85" w:rsidRDefault="007359AC">
      <w:pPr>
        <w:pStyle w:val="LO-normal"/>
        <w:spacing w:line="276" w:lineRule="auto"/>
        <w:jc w:val="both"/>
      </w:pPr>
      <w:r>
        <w:rPr>
          <w:rFonts w:ascii="Verdana" w:eastAsia="Verdana" w:hAnsi="Verdana" w:cs="Verdana"/>
        </w:rPr>
        <w:t>CPF:                                                                                  CPF:</w:t>
      </w:r>
    </w:p>
    <w:sectPr w:rsidR="00B82D85">
      <w:headerReference w:type="default" r:id="rId9"/>
      <w:footerReference w:type="default" r:id="rId10"/>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9AC" w:rsidRDefault="007359AC">
      <w:r>
        <w:separator/>
      </w:r>
    </w:p>
  </w:endnote>
  <w:endnote w:type="continuationSeparator" w:id="0">
    <w:p w:rsidR="007359AC" w:rsidRDefault="0073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AC" w:rsidRDefault="007359AC">
    <w:pPr>
      <w:pStyle w:val="LO-normal"/>
      <w:tabs>
        <w:tab w:val="center" w:pos="4419"/>
        <w:tab w:val="right" w:pos="8838"/>
      </w:tabs>
    </w:pPr>
  </w:p>
  <w:p w:rsidR="007359AC" w:rsidRDefault="007359AC">
    <w:pPr>
      <w:pStyle w:val="LO-normal"/>
      <w:tabs>
        <w:tab w:val="center" w:pos="4419"/>
        <w:tab w:val="right" w:pos="8838"/>
      </w:tabs>
      <w:rPr>
        <w:rFonts w:eastAsia="Times New Roman" w:cs="Times New Roman"/>
        <w:color w:val="000000"/>
        <w:sz w:val="2"/>
        <w:szCs w:val="2"/>
      </w:rPr>
    </w:pPr>
  </w:p>
  <w:p w:rsidR="007359AC" w:rsidRDefault="007359AC">
    <w:pPr>
      <w:pStyle w:val="LO-normal"/>
      <w:tabs>
        <w:tab w:val="center" w:pos="4419"/>
        <w:tab w:val="right" w:pos="8838"/>
      </w:tabs>
      <w:rPr>
        <w:rFonts w:eastAsia="Times New Roman" w:cs="Times New Roman"/>
        <w:color w:val="000000"/>
      </w:rPr>
    </w:pPr>
  </w:p>
  <w:p w:rsidR="007359AC" w:rsidRDefault="007359AC">
    <w:pPr>
      <w:pStyle w:val="LO-normal"/>
      <w:tabs>
        <w:tab w:val="center" w:pos="4419"/>
        <w:tab w:val="right" w:pos="8838"/>
      </w:tabs>
      <w:rPr>
        <w:rFonts w:eastAsia="Times New Roman" w:cs="Times New Roman"/>
        <w:color w:val="000000"/>
      </w:rPr>
    </w:pPr>
  </w:p>
  <w:p w:rsidR="007359AC" w:rsidRDefault="007359AC">
    <w:pPr>
      <w:pStyle w:val="LO-normal"/>
      <w:tabs>
        <w:tab w:val="center" w:pos="4419"/>
        <w:tab w:val="right" w:pos="8838"/>
      </w:tabs>
      <w:rPr>
        <w:rFonts w:eastAsia="Times New Roman" w:cs="Times New Roman"/>
        <w:color w:val="000000"/>
      </w:rPr>
    </w:pPr>
  </w:p>
  <w:p w:rsidR="007359AC" w:rsidRDefault="007359AC">
    <w:pPr>
      <w:pStyle w:val="LO-normal"/>
      <w:tabs>
        <w:tab w:val="center" w:pos="4419"/>
        <w:tab w:val="right" w:pos="8838"/>
      </w:tabs>
      <w:rPr>
        <w:rFonts w:eastAsia="Times New Roman" w:cs="Times New Roman"/>
        <w:color w:val="000000"/>
      </w:rPr>
    </w:pPr>
  </w:p>
  <w:p w:rsidR="007359AC" w:rsidRDefault="007359AC">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9AC" w:rsidRDefault="007359AC">
      <w:r>
        <w:separator/>
      </w:r>
    </w:p>
  </w:footnote>
  <w:footnote w:type="continuationSeparator" w:id="0">
    <w:p w:rsidR="007359AC" w:rsidRDefault="007359AC">
      <w:r>
        <w:continuationSeparator/>
      </w:r>
    </w:p>
  </w:footnote>
  <w:footnote w:id="1">
    <w:p w:rsidR="007359AC" w:rsidRDefault="007359AC">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AC" w:rsidRDefault="007359AC">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C2759D">
      <w:rPr>
        <w:noProof/>
      </w:rPr>
      <w:t>1</w:t>
    </w:r>
    <w:r>
      <w:fldChar w:fldCharType="end"/>
    </w:r>
    <w:r>
      <w:rPr>
        <w:color w:val="000000"/>
      </w:rPr>
      <w:t xml:space="preserve"> de </w:t>
    </w:r>
    <w:r>
      <w:fldChar w:fldCharType="begin"/>
    </w:r>
    <w:r>
      <w:instrText>NUMPAGES</w:instrText>
    </w:r>
    <w:r>
      <w:fldChar w:fldCharType="separate"/>
    </w:r>
    <w:r w:rsidR="00C2759D">
      <w:rPr>
        <w:noProof/>
      </w:rPr>
      <w:t>19</w:t>
    </w:r>
    <w:r>
      <w:fldChar w:fldCharType="end"/>
    </w:r>
  </w:p>
  <w:p w:rsidR="007359AC" w:rsidRDefault="007359AC">
    <w:pPr>
      <w:pStyle w:val="LO-normal"/>
      <w:tabs>
        <w:tab w:val="center" w:pos="4419"/>
        <w:tab w:val="right" w:pos="8838"/>
      </w:tabs>
      <w:jc w:val="center"/>
    </w:pPr>
    <w:r>
      <w:rPr>
        <w:noProof/>
        <w:lang w:eastAsia="pt-BR" w:bidi="ar-SA"/>
      </w:rPr>
      <w:drawing>
        <wp:inline distT="0" distB="0" distL="0" distR="0">
          <wp:extent cx="1819275" cy="7537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rsidR="007359AC" w:rsidRDefault="007359AC">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34E6B"/>
    <w:multiLevelType w:val="multilevel"/>
    <w:tmpl w:val="5A46906A"/>
    <w:lvl w:ilvl="0">
      <w:start w:val="1"/>
      <w:numFmt w:val="decimal"/>
      <w:lvlText w:val="%1."/>
      <w:lvlJc w:val="left"/>
      <w:pPr>
        <w:ind w:left="720" w:hanging="360"/>
      </w:pPr>
      <w:rPr>
        <w:b/>
      </w:rPr>
    </w:lvl>
    <w:lvl w:ilvl="1">
      <w:start w:val="1"/>
      <w:numFmt w:val="decimal"/>
      <w:lvlText w:val="%1.%2."/>
      <w:lvlJc w:val="left"/>
      <w:pPr>
        <w:ind w:left="720" w:hanging="360"/>
      </w:pPr>
      <w:rPr>
        <w:rFonts w:ascii="Verdana" w:eastAsia="Arial" w:hAnsi="Verdana" w:cs="Arial" w:hint="default"/>
        <w:b w:val="0"/>
      </w:rPr>
    </w:lvl>
    <w:lvl w:ilvl="2">
      <w:start w:val="1"/>
      <w:numFmt w:val="decimal"/>
      <w:lvlText w:val="%1.%2.%3."/>
      <w:lvlJc w:val="left"/>
      <w:pPr>
        <w:ind w:left="1080" w:hanging="720"/>
      </w:pPr>
      <w:rPr>
        <w:rFonts w:ascii="Arial" w:eastAsia="Arial" w:hAnsi="Arial" w:cs="Aria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7F983213"/>
    <w:multiLevelType w:val="multilevel"/>
    <w:tmpl w:val="F6BE893E"/>
    <w:lvl w:ilvl="0">
      <w:start w:val="1"/>
      <w:numFmt w:val="decimal"/>
      <w:lvlText w:val="%1."/>
      <w:lvlJc w:val="left"/>
      <w:pPr>
        <w:ind w:left="720" w:hanging="360"/>
      </w:pPr>
      <w:rPr>
        <w:b/>
      </w:rPr>
    </w:lvl>
    <w:lvl w:ilvl="1">
      <w:start w:val="1"/>
      <w:numFmt w:val="decimal"/>
      <w:lvlText w:val="%1.%2."/>
      <w:lvlJc w:val="left"/>
      <w:pPr>
        <w:ind w:left="720" w:hanging="360"/>
      </w:pPr>
      <w:rPr>
        <w:rFonts w:ascii="Verdana" w:eastAsia="Arial" w:hAnsi="Verdana" w:cs="Arial" w:hint="default"/>
        <w:b w:val="0"/>
      </w:rPr>
    </w:lvl>
    <w:lvl w:ilvl="2">
      <w:start w:val="1"/>
      <w:numFmt w:val="decimal"/>
      <w:lvlText w:val="%1.%2.%3."/>
      <w:lvlJc w:val="left"/>
      <w:pPr>
        <w:ind w:left="1080" w:hanging="720"/>
      </w:pPr>
      <w:rPr>
        <w:rFonts w:ascii="Verdana" w:eastAsia="Arial" w:hAnsi="Verdana"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85"/>
    <w:rsid w:val="00120304"/>
    <w:rsid w:val="00182F4B"/>
    <w:rsid w:val="001E230A"/>
    <w:rsid w:val="00530F77"/>
    <w:rsid w:val="00555D7A"/>
    <w:rsid w:val="00706415"/>
    <w:rsid w:val="00711913"/>
    <w:rsid w:val="007359AC"/>
    <w:rsid w:val="009A2EFF"/>
    <w:rsid w:val="009E6087"/>
    <w:rsid w:val="00AC1FC8"/>
    <w:rsid w:val="00B82D85"/>
    <w:rsid w:val="00B90B7A"/>
    <w:rsid w:val="00C2759D"/>
    <w:rsid w:val="00D73199"/>
    <w:rsid w:val="00D97AA0"/>
    <w:rsid w:val="00F87C25"/>
    <w:rsid w:val="00F96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C28E9D2-00EB-47B5-BCD7-A8921B6B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paragraph" w:styleId="SemEspaamento">
    <w:name w:val="No Spacing"/>
    <w:link w:val="SemEspaamentoChar"/>
    <w:uiPriority w:val="1"/>
    <w:qFormat/>
    <w:rsid w:val="007359AC"/>
    <w:pPr>
      <w:spacing w:before="120"/>
    </w:pPr>
    <w:rPr>
      <w:rFonts w:ascii="Calibri" w:eastAsia="Calibri" w:hAnsi="Calibri" w:cs="Calibri"/>
      <w:sz w:val="22"/>
      <w:szCs w:val="22"/>
    </w:rPr>
  </w:style>
  <w:style w:type="character" w:customStyle="1" w:styleId="SemEspaamentoChar">
    <w:name w:val="Sem Espaçamento Char"/>
    <w:basedOn w:val="Fontepargpadro"/>
    <w:link w:val="SemEspaamento"/>
    <w:uiPriority w:val="1"/>
    <w:rsid w:val="007359AC"/>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4f0sA9Wc5Ml+TKXmn2/rkdXBeQ==">AMUW2mWJoQsCEnlZl0vudUqZTTi2jQ5k+Rzmu/lG/vsWPCxXNnnk9DoZ1pvBGgO7m2Py7Hnp2zlO2W+BEiK/IxpWkjO/CSE6TGCizK2NbkjZuwRBNKuYnEyj2MlEwXHb2lM5w85UbAq/+VfkW0br4r16NUhcDhCPOm3t+IGjGl1MzG7jvNDBQ+tLrCisIa6XBZTIJ4/z5DWoC8tiWuDXDGhQsHKrTJv6ng==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5FBB77C-7132-480D-AE8D-B534A556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5465</Words>
  <Characters>29517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2023-06-06T12:44:00Z</cp:lastPrinted>
  <dcterms:created xsi:type="dcterms:W3CDTF">2023-06-12T10:52:00Z</dcterms:created>
  <dcterms:modified xsi:type="dcterms:W3CDTF">2023-06-12T10:52:00Z</dcterms:modified>
</cp:coreProperties>
</file>