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C85" w:rsidRDefault="00043CC6">
      <w:pPr>
        <w:spacing w:line="276" w:lineRule="auto"/>
        <w:jc w:val="center"/>
      </w:pPr>
      <w:r>
        <w:rPr>
          <w:rFonts w:ascii="Verdana" w:eastAsia="Verdana" w:hAnsi="Verdana" w:cs="Verdana"/>
          <w:b/>
        </w:rPr>
        <w:t>ANEXO I - TERMO DE REFERÊNCIA</w:t>
      </w:r>
    </w:p>
    <w:p w:rsidR="00865C85" w:rsidRDefault="00865C85">
      <w:pPr>
        <w:spacing w:line="276" w:lineRule="auto"/>
        <w:jc w:val="both"/>
        <w:rPr>
          <w:rFonts w:ascii="Verdana" w:eastAsia="Verdana" w:hAnsi="Verdana" w:cs="Verdana"/>
        </w:rPr>
      </w:pPr>
    </w:p>
    <w:p w:rsidR="00865C85" w:rsidRDefault="00043CC6">
      <w:pPr>
        <w:numPr>
          <w:ilvl w:val="0"/>
          <w:numId w:val="1"/>
        </w:numPr>
        <w:spacing w:before="120" w:line="276" w:lineRule="auto"/>
        <w:ind w:left="284"/>
        <w:jc w:val="both"/>
        <w:rPr>
          <w:rFonts w:ascii="Arial" w:eastAsia="Arial" w:hAnsi="Arial" w:cs="Arial"/>
          <w:sz w:val="24"/>
          <w:szCs w:val="24"/>
        </w:rPr>
      </w:pPr>
      <w:r>
        <w:rPr>
          <w:rFonts w:ascii="Arial" w:eastAsia="Arial" w:hAnsi="Arial" w:cs="Arial"/>
          <w:b/>
          <w:sz w:val="24"/>
          <w:szCs w:val="24"/>
        </w:rPr>
        <w:t>DO OBJETO</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Aquisição de material de informática para composição de estoque da Defensoria Pública do Estado do Paraná.</w:t>
      </w:r>
    </w:p>
    <w:p w:rsidR="00865C85" w:rsidRDefault="00865C85">
      <w:pPr>
        <w:spacing w:line="276" w:lineRule="auto"/>
        <w:rPr>
          <w:rFonts w:ascii="Arial" w:eastAsia="Arial" w:hAnsi="Arial" w:cs="Arial"/>
          <w:sz w:val="24"/>
          <w:szCs w:val="24"/>
        </w:rPr>
      </w:pPr>
    </w:p>
    <w:p w:rsidR="00865C85" w:rsidRDefault="00043CC6">
      <w:pPr>
        <w:numPr>
          <w:ilvl w:val="0"/>
          <w:numId w:val="1"/>
        </w:numPr>
        <w:spacing w:before="120" w:line="276" w:lineRule="auto"/>
        <w:ind w:left="284"/>
        <w:jc w:val="both"/>
        <w:rPr>
          <w:rFonts w:ascii="Arial" w:eastAsia="Arial" w:hAnsi="Arial" w:cs="Arial"/>
          <w:sz w:val="24"/>
          <w:szCs w:val="24"/>
        </w:rPr>
      </w:pPr>
      <w:r>
        <w:rPr>
          <w:rFonts w:ascii="Arial" w:eastAsia="Arial" w:hAnsi="Arial" w:cs="Arial"/>
          <w:b/>
          <w:sz w:val="24"/>
          <w:szCs w:val="24"/>
        </w:rPr>
        <w:t>DO DETALHAMENTO DO OBJETO E DOS VALORES MÁXIMOS</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Aquisição de material de informática para composição de estoque da Defensoria Pública do Estado do Paraná, conforme requisitos deste documento.</w:t>
      </w:r>
    </w:p>
    <w:tbl>
      <w:tblPr>
        <w:tblStyle w:val="a4"/>
        <w:tblW w:w="970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45"/>
        <w:gridCol w:w="630"/>
        <w:gridCol w:w="5070"/>
        <w:gridCol w:w="990"/>
        <w:gridCol w:w="1200"/>
        <w:gridCol w:w="1170"/>
      </w:tblGrid>
      <w:tr w:rsidR="00865C85">
        <w:trPr>
          <w:trHeight w:val="386"/>
        </w:trPr>
        <w:tc>
          <w:tcPr>
            <w:tcW w:w="645"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Lote</w:t>
            </w:r>
          </w:p>
        </w:tc>
        <w:tc>
          <w:tcPr>
            <w:tcW w:w="630"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Item</w:t>
            </w:r>
          </w:p>
        </w:tc>
        <w:tc>
          <w:tcPr>
            <w:tcW w:w="5070"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Especificação</w:t>
            </w:r>
          </w:p>
        </w:tc>
        <w:tc>
          <w:tcPr>
            <w:tcW w:w="990"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Quant.</w:t>
            </w:r>
          </w:p>
        </w:tc>
        <w:tc>
          <w:tcPr>
            <w:tcW w:w="1200" w:type="dxa"/>
            <w:shd w:val="clear" w:color="auto" w:fill="BFBFBF"/>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Valor Unitário Máximo</w:t>
            </w:r>
          </w:p>
        </w:tc>
        <w:tc>
          <w:tcPr>
            <w:tcW w:w="1170" w:type="dxa"/>
            <w:shd w:val="clear" w:color="auto" w:fill="BFBFBF"/>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 xml:space="preserve">Valor </w:t>
            </w:r>
            <w:r>
              <w:rPr>
                <w:rFonts w:ascii="Arial" w:eastAsia="Arial" w:hAnsi="Arial" w:cs="Arial"/>
                <w:b/>
                <w:sz w:val="24"/>
                <w:szCs w:val="24"/>
              </w:rPr>
              <w:br/>
              <w:t>Total Máximo do Lote</w:t>
            </w:r>
          </w:p>
        </w:tc>
      </w:tr>
      <w:tr w:rsidR="00865C85">
        <w:trPr>
          <w:trHeight w:val="682"/>
        </w:trPr>
        <w:tc>
          <w:tcPr>
            <w:tcW w:w="645" w:type="dxa"/>
            <w:vAlign w:val="center"/>
          </w:tcPr>
          <w:p w:rsidR="00865C85" w:rsidRDefault="00043CC6">
            <w:pPr>
              <w:spacing w:before="120" w:line="276" w:lineRule="auto"/>
              <w:jc w:val="center"/>
              <w:rPr>
                <w:rFonts w:ascii="Arial" w:eastAsia="Arial" w:hAnsi="Arial" w:cs="Arial"/>
                <w:b/>
                <w:sz w:val="22"/>
                <w:szCs w:val="22"/>
              </w:rPr>
            </w:pPr>
            <w:r>
              <w:rPr>
                <w:rFonts w:ascii="Arial" w:eastAsia="Arial" w:hAnsi="Arial" w:cs="Arial"/>
                <w:b/>
                <w:sz w:val="22"/>
                <w:szCs w:val="22"/>
              </w:rPr>
              <w:t>1</w:t>
            </w:r>
          </w:p>
        </w:tc>
        <w:tc>
          <w:tcPr>
            <w:tcW w:w="630" w:type="dxa"/>
            <w:vAlign w:val="center"/>
          </w:tcPr>
          <w:p w:rsidR="00865C85" w:rsidRDefault="00043CC6">
            <w:pPr>
              <w:spacing w:before="120" w:line="276" w:lineRule="auto"/>
              <w:jc w:val="center"/>
              <w:rPr>
                <w:rFonts w:ascii="Arial" w:eastAsia="Arial" w:hAnsi="Arial" w:cs="Arial"/>
                <w:b/>
                <w:sz w:val="22"/>
                <w:szCs w:val="22"/>
              </w:rPr>
            </w:pPr>
            <w:r>
              <w:rPr>
                <w:rFonts w:ascii="Arial" w:eastAsia="Arial" w:hAnsi="Arial" w:cs="Arial"/>
                <w:b/>
                <w:sz w:val="22"/>
                <w:szCs w:val="22"/>
              </w:rPr>
              <w:t>1</w:t>
            </w:r>
          </w:p>
        </w:tc>
        <w:tc>
          <w:tcPr>
            <w:tcW w:w="5070" w:type="dxa"/>
          </w:tcPr>
          <w:p w:rsidR="00865C85" w:rsidRDefault="00043CC6">
            <w:pPr>
              <w:spacing w:before="120" w:line="276" w:lineRule="auto"/>
              <w:jc w:val="both"/>
              <w:rPr>
                <w:rFonts w:ascii="Arial" w:eastAsia="Arial" w:hAnsi="Arial" w:cs="Arial"/>
                <w:sz w:val="22"/>
                <w:szCs w:val="22"/>
              </w:rPr>
            </w:pPr>
            <w:r>
              <w:rPr>
                <w:rFonts w:ascii="Arial" w:eastAsia="Arial" w:hAnsi="Arial" w:cs="Arial"/>
                <w:b/>
                <w:sz w:val="22"/>
                <w:szCs w:val="22"/>
              </w:rPr>
              <w:t>Mouse pad</w:t>
            </w:r>
            <w:r>
              <w:rPr>
                <w:rFonts w:ascii="Arial" w:eastAsia="Arial" w:hAnsi="Arial" w:cs="Arial"/>
                <w:sz w:val="22"/>
                <w:szCs w:val="22"/>
              </w:rPr>
              <w:t>, MATERIAL: superfície em tecido e base em EVA, DIMENSÃO: 180x220mm, COR: Preto, USO: Manuseio do mouse, UNID. DE MEDIDA: Unitário</w:t>
            </w:r>
          </w:p>
        </w:tc>
        <w:tc>
          <w:tcPr>
            <w:tcW w:w="990" w:type="dxa"/>
            <w:vAlign w:val="center"/>
          </w:tcPr>
          <w:p w:rsidR="00865C85" w:rsidRDefault="00043CC6">
            <w:pPr>
              <w:spacing w:before="120" w:line="276" w:lineRule="auto"/>
              <w:jc w:val="center"/>
              <w:rPr>
                <w:rFonts w:ascii="Arial" w:eastAsia="Arial" w:hAnsi="Arial" w:cs="Arial"/>
                <w:sz w:val="22"/>
                <w:szCs w:val="22"/>
              </w:rPr>
            </w:pPr>
            <w:r>
              <w:rPr>
                <w:rFonts w:ascii="Arial" w:eastAsia="Arial" w:hAnsi="Arial" w:cs="Arial"/>
                <w:sz w:val="22"/>
                <w:szCs w:val="22"/>
              </w:rPr>
              <w:t>300</w:t>
            </w:r>
          </w:p>
        </w:tc>
        <w:tc>
          <w:tcPr>
            <w:tcW w:w="1200" w:type="dxa"/>
            <w:vAlign w:val="center"/>
          </w:tcPr>
          <w:p w:rsidR="00865C85" w:rsidRDefault="00043CC6">
            <w:pPr>
              <w:spacing w:before="120" w:line="276" w:lineRule="auto"/>
              <w:jc w:val="center"/>
              <w:rPr>
                <w:rFonts w:ascii="Arial" w:eastAsia="Arial" w:hAnsi="Arial" w:cs="Arial"/>
                <w:sz w:val="22"/>
                <w:szCs w:val="22"/>
              </w:rPr>
            </w:pPr>
            <w:r>
              <w:rPr>
                <w:rFonts w:ascii="Arial" w:eastAsia="Arial" w:hAnsi="Arial" w:cs="Arial"/>
                <w:sz w:val="22"/>
                <w:szCs w:val="22"/>
              </w:rPr>
              <w:t>R$ 6,75</w:t>
            </w:r>
          </w:p>
        </w:tc>
        <w:tc>
          <w:tcPr>
            <w:tcW w:w="1170" w:type="dxa"/>
            <w:vAlign w:val="center"/>
          </w:tcPr>
          <w:p w:rsidR="00865C85" w:rsidRDefault="00043CC6">
            <w:pPr>
              <w:spacing w:before="120" w:line="276" w:lineRule="auto"/>
              <w:jc w:val="center"/>
              <w:rPr>
                <w:rFonts w:ascii="Arial" w:eastAsia="Arial" w:hAnsi="Arial" w:cs="Arial"/>
                <w:sz w:val="22"/>
                <w:szCs w:val="22"/>
              </w:rPr>
            </w:pPr>
            <w:r>
              <w:rPr>
                <w:rFonts w:ascii="Arial" w:eastAsia="Arial" w:hAnsi="Arial" w:cs="Arial"/>
                <w:sz w:val="22"/>
                <w:szCs w:val="22"/>
              </w:rPr>
              <w:t>R$ 2.025,00</w:t>
            </w:r>
          </w:p>
        </w:tc>
      </w:tr>
    </w:tbl>
    <w:p w:rsidR="00865C85" w:rsidRDefault="00865C85">
      <w:pPr>
        <w:spacing w:before="120" w:line="276" w:lineRule="auto"/>
        <w:jc w:val="both"/>
        <w:rPr>
          <w:rFonts w:ascii="Arial" w:eastAsia="Arial" w:hAnsi="Arial" w:cs="Arial"/>
          <w:b/>
          <w:sz w:val="24"/>
          <w:szCs w:val="24"/>
        </w:rPr>
      </w:pPr>
    </w:p>
    <w:p w:rsidR="00865C85" w:rsidRDefault="00865C85">
      <w:pPr>
        <w:spacing w:before="120" w:line="276" w:lineRule="auto"/>
        <w:ind w:left="720"/>
        <w:jc w:val="both"/>
        <w:rPr>
          <w:rFonts w:ascii="Arial" w:eastAsia="Arial" w:hAnsi="Arial" w:cs="Arial"/>
          <w:b/>
          <w:sz w:val="24"/>
          <w:szCs w:val="24"/>
        </w:rPr>
      </w:pPr>
    </w:p>
    <w:tbl>
      <w:tblPr>
        <w:tblStyle w:val="a5"/>
        <w:tblW w:w="970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45"/>
        <w:gridCol w:w="630"/>
        <w:gridCol w:w="5070"/>
        <w:gridCol w:w="990"/>
        <w:gridCol w:w="1200"/>
        <w:gridCol w:w="1170"/>
      </w:tblGrid>
      <w:tr w:rsidR="00865C85">
        <w:trPr>
          <w:trHeight w:val="386"/>
        </w:trPr>
        <w:tc>
          <w:tcPr>
            <w:tcW w:w="645"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Lote</w:t>
            </w:r>
          </w:p>
        </w:tc>
        <w:tc>
          <w:tcPr>
            <w:tcW w:w="630"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Item</w:t>
            </w:r>
          </w:p>
        </w:tc>
        <w:tc>
          <w:tcPr>
            <w:tcW w:w="5070"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Especificação</w:t>
            </w:r>
          </w:p>
        </w:tc>
        <w:tc>
          <w:tcPr>
            <w:tcW w:w="990"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Quant.</w:t>
            </w:r>
          </w:p>
        </w:tc>
        <w:tc>
          <w:tcPr>
            <w:tcW w:w="1200" w:type="dxa"/>
            <w:shd w:val="clear" w:color="auto" w:fill="BFBFBF"/>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Valor Unitário Máximo</w:t>
            </w:r>
          </w:p>
        </w:tc>
        <w:tc>
          <w:tcPr>
            <w:tcW w:w="1170" w:type="dxa"/>
            <w:shd w:val="clear" w:color="auto" w:fill="BFBFBF"/>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 xml:space="preserve">Valor </w:t>
            </w:r>
            <w:r>
              <w:rPr>
                <w:rFonts w:ascii="Arial" w:eastAsia="Arial" w:hAnsi="Arial" w:cs="Arial"/>
                <w:b/>
                <w:sz w:val="24"/>
                <w:szCs w:val="24"/>
              </w:rPr>
              <w:br/>
              <w:t>Total Máximo do Lote</w:t>
            </w:r>
          </w:p>
        </w:tc>
      </w:tr>
      <w:tr w:rsidR="00865C85">
        <w:trPr>
          <w:trHeight w:val="682"/>
        </w:trPr>
        <w:tc>
          <w:tcPr>
            <w:tcW w:w="645" w:type="dxa"/>
            <w:vAlign w:val="center"/>
          </w:tcPr>
          <w:p w:rsidR="00865C85" w:rsidRDefault="00043CC6">
            <w:pPr>
              <w:spacing w:before="120" w:line="276" w:lineRule="auto"/>
              <w:jc w:val="center"/>
              <w:rPr>
                <w:rFonts w:ascii="Arial" w:eastAsia="Arial" w:hAnsi="Arial" w:cs="Arial"/>
                <w:b/>
                <w:sz w:val="22"/>
                <w:szCs w:val="22"/>
              </w:rPr>
            </w:pPr>
            <w:r>
              <w:rPr>
                <w:rFonts w:ascii="Arial" w:eastAsia="Arial" w:hAnsi="Arial" w:cs="Arial"/>
                <w:b/>
                <w:sz w:val="22"/>
                <w:szCs w:val="22"/>
              </w:rPr>
              <w:t>2</w:t>
            </w:r>
          </w:p>
        </w:tc>
        <w:tc>
          <w:tcPr>
            <w:tcW w:w="630" w:type="dxa"/>
            <w:vAlign w:val="center"/>
          </w:tcPr>
          <w:p w:rsidR="00865C85" w:rsidRDefault="00043CC6">
            <w:pPr>
              <w:spacing w:before="120" w:line="276" w:lineRule="auto"/>
              <w:jc w:val="center"/>
              <w:rPr>
                <w:rFonts w:ascii="Arial" w:eastAsia="Arial" w:hAnsi="Arial" w:cs="Arial"/>
                <w:b/>
                <w:sz w:val="22"/>
                <w:szCs w:val="22"/>
              </w:rPr>
            </w:pPr>
            <w:r>
              <w:rPr>
                <w:rFonts w:ascii="Arial" w:eastAsia="Arial" w:hAnsi="Arial" w:cs="Arial"/>
                <w:b/>
                <w:sz w:val="22"/>
                <w:szCs w:val="22"/>
              </w:rPr>
              <w:t xml:space="preserve">  1</w:t>
            </w:r>
          </w:p>
        </w:tc>
        <w:tc>
          <w:tcPr>
            <w:tcW w:w="5070" w:type="dxa"/>
          </w:tcPr>
          <w:p w:rsidR="00865C85" w:rsidRDefault="00043CC6">
            <w:pPr>
              <w:spacing w:before="120" w:line="276" w:lineRule="auto"/>
              <w:jc w:val="both"/>
              <w:rPr>
                <w:rFonts w:ascii="Arial" w:eastAsia="Arial" w:hAnsi="Arial" w:cs="Arial"/>
                <w:sz w:val="22"/>
                <w:szCs w:val="22"/>
              </w:rPr>
            </w:pPr>
            <w:r>
              <w:rPr>
                <w:rFonts w:ascii="Arial" w:eastAsia="Arial" w:hAnsi="Arial" w:cs="Arial"/>
                <w:b/>
                <w:sz w:val="22"/>
                <w:szCs w:val="22"/>
              </w:rPr>
              <w:t>Teclado</w:t>
            </w:r>
            <w:r>
              <w:rPr>
                <w:rFonts w:ascii="Arial" w:eastAsia="Arial" w:hAnsi="Arial" w:cs="Arial"/>
                <w:sz w:val="22"/>
                <w:szCs w:val="22"/>
              </w:rPr>
              <w:t xml:space="preserve"> para microcomputador, PADRÃO: ABNT2, CONEXÃO: USB, COR: Preto, IDIOMA: Português, COMPATÍVEL: Windows 98/2000/XP/ME/7 e Linux, CARACTERÍSTICAS ADICIONAIS: Com 104 teclas, teclas de atalho e cabo de 1,30m, UNID. DE MEDIDA: Unitário</w:t>
            </w:r>
          </w:p>
        </w:tc>
        <w:tc>
          <w:tcPr>
            <w:tcW w:w="990" w:type="dxa"/>
            <w:vAlign w:val="center"/>
          </w:tcPr>
          <w:p w:rsidR="00865C85" w:rsidRDefault="00043CC6">
            <w:pPr>
              <w:spacing w:before="120" w:line="276" w:lineRule="auto"/>
              <w:jc w:val="center"/>
              <w:rPr>
                <w:rFonts w:ascii="Arial" w:eastAsia="Arial" w:hAnsi="Arial" w:cs="Arial"/>
                <w:sz w:val="22"/>
                <w:szCs w:val="22"/>
              </w:rPr>
            </w:pPr>
            <w:r>
              <w:rPr>
                <w:rFonts w:ascii="Arial" w:eastAsia="Arial" w:hAnsi="Arial" w:cs="Arial"/>
                <w:sz w:val="22"/>
                <w:szCs w:val="22"/>
              </w:rPr>
              <w:t>255</w:t>
            </w:r>
          </w:p>
        </w:tc>
        <w:tc>
          <w:tcPr>
            <w:tcW w:w="1200" w:type="dxa"/>
            <w:vAlign w:val="center"/>
          </w:tcPr>
          <w:p w:rsidR="00865C85" w:rsidRDefault="00043CC6">
            <w:pPr>
              <w:spacing w:before="120" w:line="276" w:lineRule="auto"/>
              <w:jc w:val="center"/>
              <w:rPr>
                <w:rFonts w:ascii="Arial" w:eastAsia="Arial" w:hAnsi="Arial" w:cs="Arial"/>
                <w:sz w:val="22"/>
                <w:szCs w:val="22"/>
              </w:rPr>
            </w:pPr>
            <w:r>
              <w:rPr>
                <w:rFonts w:ascii="Arial" w:eastAsia="Arial" w:hAnsi="Arial" w:cs="Arial"/>
                <w:sz w:val="22"/>
                <w:szCs w:val="22"/>
              </w:rPr>
              <w:t>R$ 34,22</w:t>
            </w:r>
          </w:p>
        </w:tc>
        <w:tc>
          <w:tcPr>
            <w:tcW w:w="1170" w:type="dxa"/>
            <w:vAlign w:val="center"/>
          </w:tcPr>
          <w:p w:rsidR="00865C85" w:rsidRDefault="00043CC6">
            <w:pPr>
              <w:spacing w:before="120" w:line="276" w:lineRule="auto"/>
              <w:jc w:val="center"/>
              <w:rPr>
                <w:rFonts w:ascii="Arial" w:eastAsia="Arial" w:hAnsi="Arial" w:cs="Arial"/>
                <w:sz w:val="22"/>
                <w:szCs w:val="22"/>
              </w:rPr>
            </w:pPr>
            <w:r>
              <w:rPr>
                <w:rFonts w:ascii="Arial" w:eastAsia="Arial" w:hAnsi="Arial" w:cs="Arial"/>
                <w:sz w:val="22"/>
                <w:szCs w:val="22"/>
              </w:rPr>
              <w:t>R$ 8.726,10</w:t>
            </w:r>
          </w:p>
        </w:tc>
      </w:tr>
    </w:tbl>
    <w:p w:rsidR="00865C85" w:rsidRDefault="00865C85">
      <w:pPr>
        <w:spacing w:before="120" w:line="276" w:lineRule="auto"/>
        <w:jc w:val="both"/>
        <w:rPr>
          <w:rFonts w:ascii="Arial" w:eastAsia="Arial" w:hAnsi="Arial" w:cs="Arial"/>
          <w:b/>
          <w:sz w:val="24"/>
          <w:szCs w:val="24"/>
        </w:rPr>
      </w:pPr>
    </w:p>
    <w:p w:rsidR="00865C85" w:rsidRDefault="00865C85">
      <w:pPr>
        <w:spacing w:before="120" w:line="276" w:lineRule="auto"/>
        <w:jc w:val="both"/>
        <w:rPr>
          <w:rFonts w:ascii="Arial" w:eastAsia="Arial" w:hAnsi="Arial" w:cs="Arial"/>
          <w:b/>
          <w:sz w:val="24"/>
          <w:szCs w:val="24"/>
        </w:rPr>
      </w:pPr>
    </w:p>
    <w:p w:rsidR="00865C85" w:rsidRDefault="00865C85">
      <w:pPr>
        <w:spacing w:before="120" w:line="276" w:lineRule="auto"/>
        <w:ind w:left="720"/>
        <w:jc w:val="both"/>
        <w:rPr>
          <w:rFonts w:ascii="Arial" w:eastAsia="Arial" w:hAnsi="Arial" w:cs="Arial"/>
          <w:b/>
          <w:sz w:val="24"/>
          <w:szCs w:val="24"/>
        </w:rPr>
      </w:pPr>
    </w:p>
    <w:tbl>
      <w:tblPr>
        <w:tblStyle w:val="a6"/>
        <w:tblW w:w="970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45"/>
        <w:gridCol w:w="630"/>
        <w:gridCol w:w="5070"/>
        <w:gridCol w:w="990"/>
        <w:gridCol w:w="1200"/>
        <w:gridCol w:w="1170"/>
      </w:tblGrid>
      <w:tr w:rsidR="00865C85">
        <w:trPr>
          <w:trHeight w:val="386"/>
        </w:trPr>
        <w:tc>
          <w:tcPr>
            <w:tcW w:w="645"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Lote</w:t>
            </w:r>
          </w:p>
        </w:tc>
        <w:tc>
          <w:tcPr>
            <w:tcW w:w="630"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Item</w:t>
            </w:r>
          </w:p>
        </w:tc>
        <w:tc>
          <w:tcPr>
            <w:tcW w:w="5070"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Especificação</w:t>
            </w:r>
          </w:p>
        </w:tc>
        <w:tc>
          <w:tcPr>
            <w:tcW w:w="990"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Quant.</w:t>
            </w:r>
          </w:p>
        </w:tc>
        <w:tc>
          <w:tcPr>
            <w:tcW w:w="1200" w:type="dxa"/>
            <w:shd w:val="clear" w:color="auto" w:fill="BFBFBF"/>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Valor Unitário Máximo</w:t>
            </w:r>
          </w:p>
        </w:tc>
        <w:tc>
          <w:tcPr>
            <w:tcW w:w="1170" w:type="dxa"/>
            <w:shd w:val="clear" w:color="auto" w:fill="BFBFBF"/>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 xml:space="preserve">Valor </w:t>
            </w:r>
            <w:r>
              <w:rPr>
                <w:rFonts w:ascii="Arial" w:eastAsia="Arial" w:hAnsi="Arial" w:cs="Arial"/>
                <w:b/>
                <w:sz w:val="24"/>
                <w:szCs w:val="24"/>
              </w:rPr>
              <w:br/>
              <w:t xml:space="preserve">Total Máximo </w:t>
            </w:r>
            <w:r>
              <w:rPr>
                <w:rFonts w:ascii="Arial" w:eastAsia="Arial" w:hAnsi="Arial" w:cs="Arial"/>
                <w:b/>
                <w:sz w:val="24"/>
                <w:szCs w:val="24"/>
              </w:rPr>
              <w:lastRenderedPageBreak/>
              <w:t>do Lote</w:t>
            </w:r>
          </w:p>
        </w:tc>
      </w:tr>
      <w:tr w:rsidR="00865C85">
        <w:trPr>
          <w:trHeight w:val="896"/>
        </w:trPr>
        <w:tc>
          <w:tcPr>
            <w:tcW w:w="645" w:type="dxa"/>
            <w:vAlign w:val="center"/>
          </w:tcPr>
          <w:p w:rsidR="00865C85" w:rsidRDefault="00043CC6">
            <w:pPr>
              <w:spacing w:before="120" w:line="276" w:lineRule="auto"/>
              <w:jc w:val="center"/>
              <w:rPr>
                <w:rFonts w:ascii="Arial" w:eastAsia="Arial" w:hAnsi="Arial" w:cs="Arial"/>
                <w:b/>
                <w:sz w:val="22"/>
                <w:szCs w:val="22"/>
              </w:rPr>
            </w:pPr>
            <w:r>
              <w:rPr>
                <w:rFonts w:ascii="Arial" w:eastAsia="Arial" w:hAnsi="Arial" w:cs="Arial"/>
                <w:b/>
                <w:sz w:val="22"/>
                <w:szCs w:val="22"/>
              </w:rPr>
              <w:lastRenderedPageBreak/>
              <w:t>3</w:t>
            </w:r>
          </w:p>
        </w:tc>
        <w:tc>
          <w:tcPr>
            <w:tcW w:w="630" w:type="dxa"/>
            <w:tcBorders>
              <w:bottom w:val="single" w:sz="4" w:space="0" w:color="000000"/>
            </w:tcBorders>
            <w:vAlign w:val="center"/>
          </w:tcPr>
          <w:p w:rsidR="00865C85" w:rsidRDefault="00043CC6">
            <w:pPr>
              <w:spacing w:before="120" w:line="276" w:lineRule="auto"/>
              <w:jc w:val="center"/>
              <w:rPr>
                <w:rFonts w:ascii="Arial" w:eastAsia="Arial" w:hAnsi="Arial" w:cs="Arial"/>
                <w:b/>
                <w:sz w:val="22"/>
                <w:szCs w:val="22"/>
              </w:rPr>
            </w:pPr>
            <w:r>
              <w:rPr>
                <w:rFonts w:ascii="Arial" w:eastAsia="Arial" w:hAnsi="Arial" w:cs="Arial"/>
                <w:b/>
                <w:sz w:val="22"/>
                <w:szCs w:val="22"/>
              </w:rPr>
              <w:t>1</w:t>
            </w:r>
          </w:p>
        </w:tc>
        <w:tc>
          <w:tcPr>
            <w:tcW w:w="5070" w:type="dxa"/>
            <w:tcBorders>
              <w:bottom w:val="single" w:sz="4" w:space="0" w:color="000000"/>
            </w:tcBorders>
          </w:tcPr>
          <w:p w:rsidR="00865C85" w:rsidRDefault="00043CC6">
            <w:pPr>
              <w:spacing w:before="120" w:line="276" w:lineRule="auto"/>
              <w:jc w:val="both"/>
              <w:rPr>
                <w:rFonts w:ascii="Arial" w:eastAsia="Arial" w:hAnsi="Arial" w:cs="Arial"/>
                <w:sz w:val="22"/>
                <w:szCs w:val="22"/>
              </w:rPr>
            </w:pPr>
            <w:r>
              <w:rPr>
                <w:rFonts w:ascii="Arial" w:eastAsia="Arial" w:hAnsi="Arial" w:cs="Arial"/>
                <w:b/>
                <w:sz w:val="22"/>
                <w:szCs w:val="22"/>
              </w:rPr>
              <w:t>Mouse</w:t>
            </w:r>
            <w:r>
              <w:rPr>
                <w:rFonts w:ascii="Arial" w:eastAsia="Arial" w:hAnsi="Arial" w:cs="Arial"/>
                <w:sz w:val="22"/>
                <w:szCs w:val="22"/>
              </w:rPr>
              <w:t>, TIPO: Conexão USB, com 3 botões (2 para seleção e 1 para rolagem com função scroll), RESOLUÇÃO: de no mínimo 800 dpi, COR: Preto, SENSOR: Óptico, DIMENSÃO: 60x30x110mm, aproximadamente, CABO: de no mínimo 1,20m, COMPATÍVEL: Windows 98/ME/2000/XP/Vista/7, UNID. DE MEDIDA: Unitário.</w:t>
            </w:r>
          </w:p>
        </w:tc>
        <w:tc>
          <w:tcPr>
            <w:tcW w:w="990" w:type="dxa"/>
            <w:tcBorders>
              <w:bottom w:val="single" w:sz="4" w:space="0" w:color="000000"/>
            </w:tcBorders>
            <w:vAlign w:val="center"/>
          </w:tcPr>
          <w:p w:rsidR="00865C85" w:rsidRDefault="00043CC6">
            <w:pPr>
              <w:spacing w:before="120" w:line="276" w:lineRule="auto"/>
              <w:jc w:val="center"/>
              <w:rPr>
                <w:rFonts w:ascii="Arial" w:eastAsia="Arial" w:hAnsi="Arial" w:cs="Arial"/>
                <w:sz w:val="22"/>
                <w:szCs w:val="22"/>
              </w:rPr>
            </w:pPr>
            <w:r>
              <w:rPr>
                <w:rFonts w:ascii="Arial" w:eastAsia="Arial" w:hAnsi="Arial" w:cs="Arial"/>
                <w:sz w:val="22"/>
                <w:szCs w:val="22"/>
              </w:rPr>
              <w:t>255</w:t>
            </w:r>
          </w:p>
        </w:tc>
        <w:tc>
          <w:tcPr>
            <w:tcW w:w="1200" w:type="dxa"/>
            <w:tcBorders>
              <w:bottom w:val="single" w:sz="4" w:space="0" w:color="000000"/>
            </w:tcBorders>
            <w:vAlign w:val="center"/>
          </w:tcPr>
          <w:p w:rsidR="00865C85" w:rsidRDefault="00043CC6">
            <w:pPr>
              <w:spacing w:before="120" w:line="276" w:lineRule="auto"/>
              <w:jc w:val="center"/>
              <w:rPr>
                <w:rFonts w:ascii="Arial" w:eastAsia="Arial" w:hAnsi="Arial" w:cs="Arial"/>
                <w:sz w:val="22"/>
                <w:szCs w:val="22"/>
              </w:rPr>
            </w:pPr>
            <w:r>
              <w:rPr>
                <w:rFonts w:ascii="Arial" w:eastAsia="Arial" w:hAnsi="Arial" w:cs="Arial"/>
                <w:sz w:val="22"/>
                <w:szCs w:val="22"/>
              </w:rPr>
              <w:t>R$ 12,98</w:t>
            </w:r>
          </w:p>
        </w:tc>
        <w:tc>
          <w:tcPr>
            <w:tcW w:w="1170" w:type="dxa"/>
            <w:tcBorders>
              <w:bottom w:val="single" w:sz="4" w:space="0" w:color="000000"/>
            </w:tcBorders>
            <w:vAlign w:val="center"/>
          </w:tcPr>
          <w:p w:rsidR="00865C85" w:rsidRDefault="00043CC6">
            <w:pPr>
              <w:spacing w:before="120" w:line="276" w:lineRule="auto"/>
              <w:jc w:val="center"/>
              <w:rPr>
                <w:rFonts w:ascii="Arial" w:eastAsia="Arial" w:hAnsi="Arial" w:cs="Arial"/>
                <w:sz w:val="22"/>
                <w:szCs w:val="22"/>
              </w:rPr>
            </w:pPr>
            <w:r>
              <w:rPr>
                <w:rFonts w:ascii="Arial" w:eastAsia="Arial" w:hAnsi="Arial" w:cs="Arial"/>
                <w:sz w:val="22"/>
                <w:szCs w:val="22"/>
              </w:rPr>
              <w:t>R$ 3.309,90</w:t>
            </w:r>
          </w:p>
        </w:tc>
      </w:tr>
    </w:tbl>
    <w:p w:rsidR="00865C85" w:rsidRDefault="00865C85">
      <w:pPr>
        <w:spacing w:before="120" w:line="276" w:lineRule="auto"/>
        <w:jc w:val="both"/>
        <w:rPr>
          <w:rFonts w:ascii="Arial" w:eastAsia="Arial" w:hAnsi="Arial" w:cs="Arial"/>
          <w:b/>
          <w:sz w:val="24"/>
          <w:szCs w:val="24"/>
        </w:rPr>
      </w:pPr>
    </w:p>
    <w:p w:rsidR="00865C85" w:rsidRDefault="00043CC6">
      <w:pPr>
        <w:numPr>
          <w:ilvl w:val="0"/>
          <w:numId w:val="1"/>
        </w:numPr>
        <w:spacing w:before="120" w:line="276" w:lineRule="auto"/>
        <w:ind w:left="284"/>
        <w:jc w:val="both"/>
        <w:rPr>
          <w:rFonts w:ascii="Arial" w:eastAsia="Arial" w:hAnsi="Arial" w:cs="Arial"/>
          <w:sz w:val="24"/>
          <w:szCs w:val="24"/>
        </w:rPr>
      </w:pPr>
      <w:r>
        <w:rPr>
          <w:rFonts w:ascii="Arial" w:eastAsia="Arial" w:hAnsi="Arial" w:cs="Arial"/>
          <w:b/>
          <w:sz w:val="24"/>
          <w:szCs w:val="24"/>
        </w:rPr>
        <w:t>DA ENTREGA</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Os produtos deverão ser entregues em até 15 (quinze) dias, contados a partir do recebimento de comunicação enviada pela DPE/PR.</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Este prazo somente poderá ser dilatado por igual período, a critério exclusivo da DPE/PR, mediante solicitação formal do FORNECEDOR, dentro do prazo e com motivação fundamentada.</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O requerimento de prorrogação do prazo de entrega não interrompe a contagem do prazo inicialmente estipulado.</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A entrega dos produtos deverá ser realizada na Sede Administrativa da Defensoria Pública, localizada na Rua Mateus Leme, 1908, Centro Cívico, Curitiba/PR, CEP 80530-010; ou em outro endereço da DPE/PR em Curitiba, especificado pela DPE/PR. </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 xml:space="preserve">A entrega deverá ocorrer em dia útil (previamente acordado com o responsável), em horário das 10h às 16h, ou conforme especificado. </w:t>
      </w:r>
    </w:p>
    <w:p w:rsidR="00865C85" w:rsidRDefault="00865C85">
      <w:pPr>
        <w:spacing w:before="120" w:line="276" w:lineRule="auto"/>
        <w:jc w:val="both"/>
        <w:rPr>
          <w:rFonts w:ascii="Arial" w:eastAsia="Arial" w:hAnsi="Arial" w:cs="Arial"/>
          <w:sz w:val="24"/>
          <w:szCs w:val="24"/>
        </w:rPr>
      </w:pPr>
    </w:p>
    <w:p w:rsidR="00865C85" w:rsidRDefault="00043CC6">
      <w:pPr>
        <w:numPr>
          <w:ilvl w:val="0"/>
          <w:numId w:val="1"/>
        </w:numPr>
        <w:spacing w:before="120" w:line="276" w:lineRule="auto"/>
        <w:ind w:left="284"/>
        <w:jc w:val="both"/>
        <w:rPr>
          <w:rFonts w:ascii="Arial" w:eastAsia="Arial" w:hAnsi="Arial" w:cs="Arial"/>
          <w:sz w:val="24"/>
          <w:szCs w:val="24"/>
        </w:rPr>
      </w:pPr>
      <w:r>
        <w:rPr>
          <w:rFonts w:ascii="Arial" w:eastAsia="Arial" w:hAnsi="Arial" w:cs="Arial"/>
          <w:b/>
          <w:sz w:val="24"/>
          <w:szCs w:val="24"/>
        </w:rPr>
        <w:t xml:space="preserve">DAS CONDIÇÕES GERAIS </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Os produtos fornecidos devem ser novos, de primeiro uso, sem a presença de vícios e entregues em embalagens lacradas no local indicado, sem custo adicional para a DPE/PR. </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Não serão aceitos produtos em desacordo com as especificações técnicas contidas neste Termo de Referência, salvo se de melhor qualidade. </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O FORNECEDOR deverá obedecer às recomendações do Ministério do Trabalho e Emprego, com relação à segurança do trabalho. Deverá responsabilizar-se também pelo correto cumprimento de sua jornada e por acidentes ocorridos no exercício da atividade. </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 xml:space="preserve">Caso seja constatada desconformidade do(s) produto(s) apresentado(s) em relação às especificações do(s) objeto(s) ou à(s) amostra(s) aprovada(s) </w:t>
      </w:r>
      <w:r>
        <w:rPr>
          <w:rFonts w:ascii="Arial" w:eastAsia="Arial" w:hAnsi="Arial" w:cs="Arial"/>
          <w:sz w:val="24"/>
          <w:szCs w:val="24"/>
        </w:rPr>
        <w:lastRenderedPageBreak/>
        <w:t>pela DPE/PR, o FORNECEDOR deverá efetuar a troca do(s) produto(s), no prazo de 10 (dez) dias, a contar do recebimento da solicitação, sem ônus adicional.</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Os objetos utilizados na prestação dos serviços deverão ser de primeira qualidade e ser garantidos contra defeitos de fabricação de acordo com as regras e os prazos estabelecidos no Código de Defesa do Consumidor e no Manual de Uso e Garantia do Produto do Fabricante. </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Os produtos serão recebidos provisoriamente pela DPE/PR em até 15 (quinze) dias e definitivamente em até 30 (trinta) dias.</w:t>
      </w:r>
    </w:p>
    <w:p w:rsidR="00865C85" w:rsidRDefault="00865C85">
      <w:pPr>
        <w:spacing w:before="120" w:line="276" w:lineRule="auto"/>
        <w:jc w:val="both"/>
        <w:rPr>
          <w:rFonts w:ascii="Arial" w:eastAsia="Arial" w:hAnsi="Arial" w:cs="Arial"/>
          <w:sz w:val="24"/>
          <w:szCs w:val="24"/>
        </w:rPr>
      </w:pPr>
    </w:p>
    <w:p w:rsidR="00865C85" w:rsidRDefault="00043CC6">
      <w:pPr>
        <w:numPr>
          <w:ilvl w:val="0"/>
          <w:numId w:val="1"/>
        </w:numPr>
        <w:spacing w:before="120" w:line="276" w:lineRule="auto"/>
        <w:ind w:left="284"/>
        <w:jc w:val="both"/>
        <w:rPr>
          <w:rFonts w:ascii="Arial" w:eastAsia="Arial" w:hAnsi="Arial" w:cs="Arial"/>
          <w:sz w:val="24"/>
          <w:szCs w:val="24"/>
        </w:rPr>
      </w:pPr>
      <w:r>
        <w:rPr>
          <w:rFonts w:ascii="Arial" w:eastAsia="Arial" w:hAnsi="Arial" w:cs="Arial"/>
          <w:b/>
          <w:sz w:val="24"/>
          <w:szCs w:val="24"/>
        </w:rPr>
        <w:t>DOS CRITÉRIOS DE SUSTENTABILIDADE</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De acordo com o Art. 48 do Decreto Estadual no 4993, de 31 de agosto de 2016, as empresas adotarão as seguintes práticas de sustentabilidade, quando couber: </w:t>
      </w:r>
    </w:p>
    <w:p w:rsidR="00865C85" w:rsidRDefault="00043CC6">
      <w:pPr>
        <w:spacing w:before="120" w:line="276" w:lineRule="auto"/>
        <w:ind w:left="709" w:hanging="360"/>
        <w:jc w:val="both"/>
        <w:rPr>
          <w:rFonts w:ascii="Arial" w:eastAsia="Arial" w:hAnsi="Arial" w:cs="Arial"/>
          <w:sz w:val="24"/>
          <w:szCs w:val="24"/>
        </w:rPr>
      </w:pPr>
      <w:r>
        <w:rPr>
          <w:rFonts w:ascii="Arial" w:eastAsia="Arial" w:hAnsi="Arial" w:cs="Arial"/>
          <w:sz w:val="24"/>
          <w:szCs w:val="24"/>
        </w:rPr>
        <w:t>I - Que os bens sejam constituídos, no todo ou em parte, por material reciclado, atóxico, biodegradável, conforme normas específicas da ABNT; </w:t>
      </w:r>
    </w:p>
    <w:p w:rsidR="00865C85" w:rsidRDefault="00043CC6">
      <w:pPr>
        <w:spacing w:before="120" w:line="276" w:lineRule="auto"/>
        <w:ind w:left="709" w:hanging="360"/>
        <w:jc w:val="both"/>
        <w:rPr>
          <w:rFonts w:ascii="Arial" w:eastAsia="Arial" w:hAnsi="Arial" w:cs="Arial"/>
          <w:sz w:val="24"/>
          <w:szCs w:val="24"/>
        </w:rPr>
      </w:pPr>
      <w:r>
        <w:rPr>
          <w:rFonts w:ascii="Arial" w:eastAsia="Arial" w:hAnsi="Arial" w:cs="Arial"/>
          <w:sz w:val="24"/>
          <w:szCs w:val="24"/>
        </w:rPr>
        <w:t>II - Que sejam observados os requisitos ambientais para a obtenção de certificação do Instituto Nacional de Metrologia, Normalização e Qualidade Industrial – INMETRO, como produtos sustentáveis ou de menor impacto ambiental em relação aos seus similares; </w:t>
      </w:r>
    </w:p>
    <w:p w:rsidR="00865C85" w:rsidRDefault="00043CC6">
      <w:pPr>
        <w:spacing w:before="120" w:line="276" w:lineRule="auto"/>
        <w:ind w:left="709" w:hanging="360"/>
        <w:jc w:val="both"/>
        <w:rPr>
          <w:rFonts w:ascii="Arial" w:eastAsia="Arial" w:hAnsi="Arial" w:cs="Arial"/>
          <w:sz w:val="24"/>
          <w:szCs w:val="24"/>
        </w:rPr>
      </w:pPr>
      <w:r>
        <w:rPr>
          <w:rFonts w:ascii="Arial" w:eastAsia="Arial" w:hAnsi="Arial" w:cs="Arial"/>
          <w:sz w:val="24"/>
          <w:szCs w:val="24"/>
        </w:rPr>
        <w:t>III - Que os bens devam ser, preferencialmente, acondicionados em embalagem individual adequada, com o menor volume possível, que utilize materiais recicláveis, de forma a garantir a máxima proteção durante o transporte e o armazenamento; e </w:t>
      </w:r>
    </w:p>
    <w:p w:rsidR="00865C85" w:rsidRDefault="00043CC6">
      <w:pPr>
        <w:spacing w:before="120" w:line="276" w:lineRule="auto"/>
        <w:ind w:left="709" w:hanging="360"/>
        <w:jc w:val="both"/>
        <w:rPr>
          <w:rFonts w:ascii="Arial" w:eastAsia="Arial" w:hAnsi="Arial" w:cs="Arial"/>
          <w:sz w:val="24"/>
          <w:szCs w:val="24"/>
        </w:rPr>
      </w:pPr>
      <w:r>
        <w:rPr>
          <w:rFonts w:ascii="Arial" w:eastAsia="Arial" w:hAnsi="Arial" w:cs="Arial"/>
          <w:sz w:val="24"/>
          <w:szCs w:val="24"/>
        </w:rPr>
        <w:t>IV - Que os bens não contenham substâncias perigosas em concentração acima da recomendada na diretiva RoHS (RestrictionofCertainHazardousSubstances), tais como mercúrio (Hg), chumbo (Pb), cromo hexavalente (Cr (VI)), cádmio (Cd), bifenil-polibromados (PBBs), éteres difenil-polibromados (PBDEs). </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Também deverão ser observados, no que couber, os preceitos da Lei Estadual nº 20.132, de 20 de janeiro de 2020, que altera dispositivos da Lei no 15.608, de 16 de agosto de 2007, e da Lei Estadual n° 16.075/2009.</w:t>
      </w:r>
    </w:p>
    <w:p w:rsidR="00865C85" w:rsidRDefault="00865C85">
      <w:pPr>
        <w:spacing w:before="120" w:line="276" w:lineRule="auto"/>
        <w:ind w:left="720" w:hanging="360"/>
        <w:jc w:val="both"/>
        <w:rPr>
          <w:rFonts w:ascii="Arial" w:eastAsia="Arial" w:hAnsi="Arial" w:cs="Arial"/>
          <w:sz w:val="24"/>
          <w:szCs w:val="24"/>
        </w:rPr>
      </w:pPr>
    </w:p>
    <w:p w:rsidR="00865C85" w:rsidRDefault="00043CC6">
      <w:pPr>
        <w:numPr>
          <w:ilvl w:val="0"/>
          <w:numId w:val="1"/>
        </w:numPr>
        <w:spacing w:before="120" w:line="276" w:lineRule="auto"/>
        <w:ind w:left="284"/>
        <w:jc w:val="both"/>
        <w:rPr>
          <w:rFonts w:ascii="Arial" w:eastAsia="Arial" w:hAnsi="Arial" w:cs="Arial"/>
          <w:sz w:val="24"/>
          <w:szCs w:val="24"/>
        </w:rPr>
      </w:pPr>
      <w:r>
        <w:rPr>
          <w:rFonts w:ascii="Arial" w:eastAsia="Arial" w:hAnsi="Arial" w:cs="Arial"/>
          <w:b/>
          <w:sz w:val="24"/>
          <w:szCs w:val="24"/>
        </w:rPr>
        <w:t>DO PREÇO</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 xml:space="preserve">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w:t>
      </w:r>
      <w:r>
        <w:rPr>
          <w:rFonts w:ascii="Arial" w:eastAsia="Arial" w:hAnsi="Arial" w:cs="Arial"/>
          <w:sz w:val="24"/>
          <w:szCs w:val="24"/>
        </w:rPr>
        <w:lastRenderedPageBreak/>
        <w:t>Municipal, assim como custos referentes à responsabilidade compartilhada pelo ciclo de vida, da geração até a destinação ambientalmente adequada dos produtos embalagens e serviços, não cabendo à DPPR quaisquer custos adicionais.</w:t>
      </w:r>
    </w:p>
    <w:p w:rsidR="00865C85" w:rsidRDefault="00865C85">
      <w:pPr>
        <w:spacing w:before="120" w:line="276" w:lineRule="auto"/>
        <w:ind w:left="720" w:hanging="360"/>
        <w:jc w:val="both"/>
        <w:rPr>
          <w:rFonts w:ascii="Arial" w:eastAsia="Arial" w:hAnsi="Arial" w:cs="Arial"/>
          <w:sz w:val="24"/>
          <w:szCs w:val="24"/>
        </w:rPr>
      </w:pPr>
    </w:p>
    <w:p w:rsidR="00865C85" w:rsidRDefault="00043CC6">
      <w:pPr>
        <w:numPr>
          <w:ilvl w:val="0"/>
          <w:numId w:val="1"/>
        </w:numPr>
        <w:spacing w:before="120" w:line="276" w:lineRule="auto"/>
        <w:ind w:left="284"/>
        <w:jc w:val="both"/>
        <w:rPr>
          <w:rFonts w:ascii="Arial" w:eastAsia="Arial" w:hAnsi="Arial" w:cs="Arial"/>
          <w:sz w:val="24"/>
          <w:szCs w:val="24"/>
        </w:rPr>
      </w:pPr>
      <w:r>
        <w:rPr>
          <w:rFonts w:ascii="Arial" w:eastAsia="Arial" w:hAnsi="Arial" w:cs="Arial"/>
          <w:b/>
          <w:sz w:val="24"/>
          <w:szCs w:val="24"/>
        </w:rPr>
        <w:t>DO RECEBIMENTO</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O objeto será recebido provisoriamente pelo responsável pelo acompanhamento, mediante termo circunstanciado, assinado pelas partes, em até 15 (quinze) dias, após a comunicação escrita do contratado,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rsidR="00865C85" w:rsidRDefault="00043CC6">
      <w:pPr>
        <w:numPr>
          <w:ilvl w:val="2"/>
          <w:numId w:val="1"/>
        </w:numPr>
        <w:spacing w:before="120" w:line="300" w:lineRule="auto"/>
        <w:jc w:val="both"/>
        <w:rPr>
          <w:sz w:val="22"/>
          <w:szCs w:val="22"/>
        </w:rPr>
      </w:pPr>
      <w:r>
        <w:rPr>
          <w:rFonts w:ascii="Arial" w:eastAsia="Arial" w:hAnsi="Arial" w:cs="Arial"/>
          <w:sz w:val="24"/>
          <w:szCs w:val="24"/>
        </w:rPr>
        <w:t>O recebimento provisório poderá ser dispensado nos casos previstos taxativamente no artigo 74, incisos I, II e III da Lei 8.666/1993, sendo neste caso realizado mediante recibo, conforme parágrafo único do citado dispositivo.</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rsidR="00865C85" w:rsidRDefault="00043CC6">
      <w:pPr>
        <w:numPr>
          <w:ilvl w:val="2"/>
          <w:numId w:val="1"/>
        </w:numPr>
        <w:spacing w:before="120" w:line="300" w:lineRule="auto"/>
        <w:ind w:left="1077"/>
        <w:jc w:val="both"/>
        <w:rPr>
          <w:sz w:val="22"/>
          <w:szCs w:val="22"/>
        </w:rPr>
      </w:pPr>
      <w:r>
        <w:rPr>
          <w:rFonts w:ascii="Arial" w:eastAsia="Arial" w:hAnsi="Arial" w:cs="Arial"/>
          <w:sz w:val="24"/>
          <w:szCs w:val="24"/>
        </w:rPr>
        <w:t>Fiscais de Débitos das receitas nos âmbitos municipal, estadual e federal;</w:t>
      </w:r>
    </w:p>
    <w:p w:rsidR="00865C85" w:rsidRDefault="00043CC6">
      <w:pPr>
        <w:numPr>
          <w:ilvl w:val="2"/>
          <w:numId w:val="1"/>
        </w:numPr>
        <w:spacing w:before="120" w:line="300" w:lineRule="auto"/>
        <w:ind w:left="1077"/>
        <w:jc w:val="both"/>
        <w:rPr>
          <w:sz w:val="22"/>
          <w:szCs w:val="22"/>
        </w:rPr>
      </w:pPr>
      <w:r>
        <w:rPr>
          <w:rFonts w:ascii="Arial" w:eastAsia="Arial" w:hAnsi="Arial" w:cs="Arial"/>
          <w:sz w:val="24"/>
          <w:szCs w:val="24"/>
        </w:rPr>
        <w:t>Certidão de Débitos Trabalhistas, emitida pelo Tribunal Superior do Trabalho;</w:t>
      </w:r>
    </w:p>
    <w:p w:rsidR="00865C85" w:rsidRDefault="00043CC6">
      <w:pPr>
        <w:numPr>
          <w:ilvl w:val="2"/>
          <w:numId w:val="1"/>
        </w:numPr>
        <w:spacing w:before="120" w:line="300" w:lineRule="auto"/>
        <w:ind w:left="1077"/>
        <w:jc w:val="both"/>
        <w:rPr>
          <w:sz w:val="22"/>
          <w:szCs w:val="22"/>
        </w:rPr>
      </w:pPr>
      <w:r>
        <w:rPr>
          <w:rFonts w:ascii="Arial" w:eastAsia="Arial" w:hAnsi="Arial" w:cs="Arial"/>
          <w:sz w:val="24"/>
          <w:szCs w:val="24"/>
        </w:rPr>
        <w:t>Certificado de Regularidade do FGTS – CRF.</w:t>
      </w:r>
    </w:p>
    <w:p w:rsidR="00865C85" w:rsidRDefault="00043CC6">
      <w:pPr>
        <w:numPr>
          <w:ilvl w:val="2"/>
          <w:numId w:val="1"/>
        </w:numPr>
        <w:spacing w:before="120" w:line="300" w:lineRule="auto"/>
        <w:ind w:left="1077"/>
        <w:jc w:val="both"/>
        <w:rPr>
          <w:sz w:val="22"/>
          <w:szCs w:val="22"/>
        </w:rPr>
      </w:pPr>
      <w:r>
        <w:rPr>
          <w:rFonts w:ascii="Arial" w:eastAsia="Arial" w:hAnsi="Arial" w:cs="Arial"/>
          <w:sz w:val="24"/>
          <w:szCs w:val="24"/>
        </w:rPr>
        <w:t>Caso alguma das referidas certidões tenha seu prazo de validade expirado, poderá o órgão responsável pelo recebimento definitivo, a seu exclusivo critério, diligenciar para obtenção do documento atualizado ou solicitar que a Contratada o apresente.</w:t>
      </w:r>
    </w:p>
    <w:p w:rsidR="00865C85" w:rsidRDefault="00043CC6">
      <w:pPr>
        <w:numPr>
          <w:ilvl w:val="2"/>
          <w:numId w:val="1"/>
        </w:numPr>
        <w:spacing w:before="120" w:line="300" w:lineRule="auto"/>
        <w:ind w:left="1077"/>
        <w:jc w:val="both"/>
        <w:rPr>
          <w:sz w:val="24"/>
          <w:szCs w:val="24"/>
        </w:rPr>
      </w:pPr>
      <w:r>
        <w:rPr>
          <w:rFonts w:ascii="Arial" w:eastAsia="Arial" w:hAnsi="Arial" w:cs="Arial"/>
          <w:sz w:val="24"/>
          <w:szCs w:val="24"/>
        </w:rPr>
        <w:t xml:space="preserve">Na ocorrência da hipótese mencionada no item anterior, ou quando se verificar alguma inconsistência nos documentos enviados pela Contratada, </w:t>
      </w:r>
      <w:r>
        <w:rPr>
          <w:rFonts w:ascii="Arial" w:eastAsia="Arial" w:hAnsi="Arial" w:cs="Arial"/>
          <w:sz w:val="24"/>
          <w:szCs w:val="24"/>
        </w:rPr>
        <w:lastRenderedPageBreak/>
        <w:t>o prazo de recebimento será interrompido e recomeçará a contar do zero a partir da regularização da pendência.</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O recebimento definitivo será realizado em até 30 (trinta) dias, após a verificação da qualidade e quantidade do material.</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 xml:space="preserve">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  </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A CONTRATADA deverá corrigir, refazer ou substituir o objeto que apresentar quaisquer divergências com as especificações fornecidas, bem como realizar possíveis adequações necessárias, sem ônus para a CONTRATANTE.</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O recebimento definitivo do objeto fica condicionado à demonstração de cumprimento pela contratada de todas as suas obrigações assumidas, dentre as quais se inclui a apresentação dos documentos pertinentes, conforme descrito no item 7.2, e demais documentos complementares.</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Os recebimentos provisório ou definitivo do objeto não excluem a responsabilidade da contratada pelos prejuízos resultantes da incorreta execução/prestação do objeto.</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Os recebimentos provisório e definitivo ficam condicionados à prestação da totalidade do objeto indicado na ordem de fornecimento/serviço, sendo vedados recebimentos fracionados decorrentes de um mesmo pedido.</w:t>
      </w:r>
    </w:p>
    <w:p w:rsidR="00865C85" w:rsidRDefault="00043CC6">
      <w:pPr>
        <w:numPr>
          <w:ilvl w:val="2"/>
          <w:numId w:val="1"/>
        </w:numPr>
        <w:spacing w:before="120" w:line="300" w:lineRule="auto"/>
        <w:ind w:left="1077"/>
        <w:jc w:val="both"/>
        <w:rPr>
          <w:sz w:val="24"/>
          <w:szCs w:val="24"/>
        </w:rPr>
      </w:pPr>
      <w:r>
        <w:rPr>
          <w:rFonts w:ascii="Arial" w:eastAsia="Arial" w:hAnsi="Arial" w:cs="Arial"/>
          <w:sz w:val="24"/>
          <w:szCs w:val="24"/>
        </w:rPr>
        <w:t xml:space="preserve">Caso a prestação do objeto seja estipulada de forma parcelada, os recebimentos provisório e definitivo serão efetuados apenas por ocasião entrega da última parcela, quando, então, serão adotadas as medidas </w:t>
      </w:r>
      <w:r>
        <w:rPr>
          <w:rFonts w:ascii="Arial" w:eastAsia="Arial" w:hAnsi="Arial" w:cs="Arial"/>
          <w:sz w:val="24"/>
          <w:szCs w:val="24"/>
        </w:rPr>
        <w:lastRenderedPageBreak/>
        <w:t>destinadas ao pagamento dos serviços, desde que observadas as demais condições do Termo de Referência.</w:t>
      </w:r>
    </w:p>
    <w:p w:rsidR="00865C85" w:rsidRDefault="00865C85">
      <w:pPr>
        <w:spacing w:before="120" w:line="276" w:lineRule="auto"/>
        <w:ind w:left="720" w:hanging="360"/>
        <w:jc w:val="both"/>
        <w:rPr>
          <w:rFonts w:ascii="Arial" w:eastAsia="Arial" w:hAnsi="Arial" w:cs="Arial"/>
          <w:sz w:val="24"/>
          <w:szCs w:val="24"/>
        </w:rPr>
      </w:pPr>
    </w:p>
    <w:p w:rsidR="00865C85" w:rsidRDefault="00043CC6">
      <w:pPr>
        <w:numPr>
          <w:ilvl w:val="0"/>
          <w:numId w:val="1"/>
        </w:numPr>
        <w:spacing w:before="120" w:line="276" w:lineRule="auto"/>
        <w:ind w:left="284"/>
        <w:jc w:val="both"/>
        <w:rPr>
          <w:rFonts w:ascii="Arial" w:eastAsia="Arial" w:hAnsi="Arial" w:cs="Arial"/>
          <w:sz w:val="24"/>
          <w:szCs w:val="24"/>
        </w:rPr>
      </w:pPr>
      <w:r>
        <w:rPr>
          <w:rFonts w:ascii="Arial" w:eastAsia="Arial" w:hAnsi="Arial" w:cs="Arial"/>
          <w:b/>
          <w:sz w:val="24"/>
          <w:szCs w:val="24"/>
        </w:rPr>
        <w:t>DAS CONDIÇÕES DE PAGAMENTO</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Para a liberação do pagamento, o responsável pelo acompanhamento encaminhará o documento de cobrança e documentação complementar ao Departamento Financeiro que então providenciará a liquidação da obrigação.</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A pendência de liquidação de obrigação financeira imposta em virtude de penalidade ou inadimplência poderá gerar a retenção e/ou o desconto dos pagamentos devidos a CONTRATADA, sem que isso gere direito a acréscimos de qualquer natureza.</w:t>
      </w:r>
    </w:p>
    <w:p w:rsidR="00865C85" w:rsidRDefault="00043CC6">
      <w:pPr>
        <w:numPr>
          <w:ilvl w:val="2"/>
          <w:numId w:val="1"/>
        </w:numPr>
        <w:spacing w:before="120" w:line="300" w:lineRule="auto"/>
        <w:ind w:left="1077"/>
        <w:jc w:val="both"/>
        <w:rPr>
          <w:sz w:val="24"/>
          <w:szCs w:val="24"/>
        </w:rPr>
      </w:pPr>
      <w:r>
        <w:rPr>
          <w:rFonts w:ascii="Arial" w:eastAsia="Arial" w:hAnsi="Arial" w:cs="Arial"/>
          <w:sz w:val="24"/>
          <w:szCs w:val="24"/>
        </w:rPr>
        <w:t>Eventuais retenções e/ou descontos dos pagamentos serão apreciados em procedimento específico para apuração do eventual inadimplemento.</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A DPPR fará as retenções de acordo com a legislação vigente e/ou exigirá a comprovação dos recolhimentos exigidos em lei.</w:t>
      </w:r>
    </w:p>
    <w:p w:rsidR="00865C85" w:rsidRDefault="00043CC6">
      <w:pPr>
        <w:numPr>
          <w:ilvl w:val="2"/>
          <w:numId w:val="1"/>
        </w:numPr>
        <w:spacing w:before="120" w:line="300" w:lineRule="auto"/>
        <w:ind w:left="1077"/>
        <w:jc w:val="both"/>
        <w:rPr>
          <w:sz w:val="24"/>
          <w:szCs w:val="24"/>
        </w:rPr>
      </w:pPr>
      <w:r>
        <w:rPr>
          <w:rFonts w:ascii="Arial" w:eastAsia="Arial" w:hAnsi="Arial" w:cs="Arial"/>
          <w:sz w:val="24"/>
          <w:szCs w:val="24"/>
        </w:rPr>
        <w:t>Eventuais encargos decorrentes de atrasos nas retenções de responsabilidade da DPPR serão imputáveis exclusivamente à fornecedora quando esta deixar de apresentar os documentos necessários em tempo hábil.</w:t>
      </w:r>
    </w:p>
    <w:p w:rsidR="00865C85" w:rsidRDefault="00865C85">
      <w:pPr>
        <w:spacing w:before="120" w:line="276" w:lineRule="auto"/>
        <w:ind w:left="720" w:hanging="360"/>
        <w:jc w:val="both"/>
        <w:rPr>
          <w:rFonts w:ascii="Arial" w:eastAsia="Arial" w:hAnsi="Arial" w:cs="Arial"/>
          <w:sz w:val="24"/>
          <w:szCs w:val="24"/>
        </w:rPr>
      </w:pPr>
    </w:p>
    <w:p w:rsidR="00865C85" w:rsidRDefault="00043CC6">
      <w:pPr>
        <w:numPr>
          <w:ilvl w:val="0"/>
          <w:numId w:val="1"/>
        </w:numPr>
        <w:spacing w:before="120" w:line="276" w:lineRule="auto"/>
        <w:ind w:left="284"/>
        <w:jc w:val="both"/>
        <w:rPr>
          <w:rFonts w:ascii="Arial" w:eastAsia="Arial" w:hAnsi="Arial" w:cs="Arial"/>
          <w:sz w:val="24"/>
          <w:szCs w:val="24"/>
        </w:rPr>
      </w:pPr>
      <w:r>
        <w:rPr>
          <w:rFonts w:ascii="Arial" w:eastAsia="Arial" w:hAnsi="Arial" w:cs="Arial"/>
          <w:b/>
          <w:sz w:val="24"/>
          <w:szCs w:val="24"/>
        </w:rPr>
        <w:t>SANÇÕES ADMINISTRATIVAS</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 xml:space="preserve">O descumprimento das obrigações assumidas ensejará na aplicação, garantido o contraditório e a ampla defesa à licitante, das sanções previstas na </w:t>
      </w:r>
      <w:r>
        <w:rPr>
          <w:rFonts w:ascii="Arial" w:eastAsia="Arial" w:hAnsi="Arial" w:cs="Arial"/>
          <w:sz w:val="24"/>
          <w:szCs w:val="24"/>
        </w:rPr>
        <w:lastRenderedPageBreak/>
        <w:t>Lei Estadual n° 15.608/2007 e regulamentadas, no âmbito desta Defensoria, por meio da Deliberação CSDP n° 11/2015, quais sejam:</w:t>
      </w:r>
    </w:p>
    <w:p w:rsidR="00865C85" w:rsidRDefault="00043CC6">
      <w:pPr>
        <w:spacing w:before="120" w:line="276" w:lineRule="auto"/>
        <w:ind w:left="720" w:hanging="360"/>
        <w:jc w:val="both"/>
        <w:rPr>
          <w:rFonts w:ascii="Arial" w:eastAsia="Arial" w:hAnsi="Arial" w:cs="Arial"/>
          <w:sz w:val="24"/>
          <w:szCs w:val="24"/>
        </w:rPr>
      </w:pPr>
      <w:r>
        <w:rPr>
          <w:rFonts w:ascii="Arial" w:eastAsia="Arial" w:hAnsi="Arial" w:cs="Arial"/>
          <w:sz w:val="24"/>
          <w:szCs w:val="24"/>
        </w:rPr>
        <w:t xml:space="preserve">I - Advertência, em caso de conduta que prejudique o andamento do procedimento licitatório ou da contratação; </w:t>
      </w:r>
    </w:p>
    <w:p w:rsidR="00865C85" w:rsidRDefault="00043CC6">
      <w:pPr>
        <w:spacing w:before="120" w:line="276" w:lineRule="auto"/>
        <w:ind w:left="720" w:hanging="360"/>
        <w:jc w:val="both"/>
        <w:rPr>
          <w:rFonts w:ascii="Arial" w:eastAsia="Arial" w:hAnsi="Arial" w:cs="Arial"/>
          <w:sz w:val="24"/>
          <w:szCs w:val="24"/>
        </w:rPr>
      </w:pPr>
      <w:r>
        <w:rPr>
          <w:rFonts w:ascii="Arial" w:eastAsia="Arial" w:hAnsi="Arial" w:cs="Arial"/>
          <w:sz w:val="24"/>
          <w:szCs w:val="24"/>
        </w:rPr>
        <w:t xml:space="preserve">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rsidR="00865C85" w:rsidRDefault="00043CC6">
      <w:pPr>
        <w:spacing w:before="120" w:line="276" w:lineRule="auto"/>
        <w:ind w:left="720" w:hanging="360"/>
        <w:jc w:val="both"/>
        <w:rPr>
          <w:rFonts w:ascii="Arial" w:eastAsia="Arial" w:hAnsi="Arial" w:cs="Arial"/>
          <w:sz w:val="24"/>
          <w:szCs w:val="24"/>
        </w:rPr>
      </w:pPr>
      <w:r>
        <w:rPr>
          <w:rFonts w:ascii="Arial" w:eastAsia="Arial" w:hAnsi="Arial" w:cs="Arial"/>
          <w:sz w:val="24"/>
          <w:szCs w:val="24"/>
        </w:rPr>
        <w:t xml:space="preserve">III - Multa de até 20% (vinte por cento) sobre o valor total do contrato, nas seguintes hipóteses, dentre outras: </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t>a) não manutenção da proposta;</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t>b) apresentação de declaração falsa;</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t xml:space="preserve">c) não apresentação de documento na fase de saneamento; </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t xml:space="preserve">d) inexecução contratual; </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t xml:space="preserve">e) recusa injustificada, após ser considerado adjudicatário, a assinar o contrato, aceitar ou retirar o instrumento equivalente, dentro do prazo estabelecido pela Administração; </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t>f) abandono da execução contratual;</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t>g) apresentação de documento falso;</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t>h) fraude ou frustração do procedimento mediante ajuste, combinação ou qualquer outro expediente;</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t xml:space="preserve">i) afastamento ou tentativa de afastamento de outra licitante por meio de violência, grave ameaça, fraude ou oferecimento de vantagem de qualquer tipo; </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t xml:space="preserve">j) atuação de má-fé na relação contratual, comprovada em procedimento específico; </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t xml:space="preserve">k) recebimento de condenação judicial definitiva por praticar, por meios dolosos, fraude fiscal no recolhimento de quaisquer tributos; </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t xml:space="preserve">l) demonstração de não possuir idoneidade para contratar com a Administração, em virtude de atos ilícitos praticados, em especial infrações à ordem econômica definidos na Lei Federal nº 8.158/91; </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t>m) recebimento de condenação definitiva por ato de improbidade administrativa, na forma da lei.</w:t>
      </w:r>
    </w:p>
    <w:p w:rsidR="00865C85" w:rsidRDefault="00043CC6">
      <w:pPr>
        <w:spacing w:before="120" w:line="276" w:lineRule="auto"/>
        <w:ind w:left="720" w:hanging="360"/>
        <w:jc w:val="both"/>
        <w:rPr>
          <w:rFonts w:ascii="Arial" w:eastAsia="Arial" w:hAnsi="Arial" w:cs="Arial"/>
          <w:sz w:val="24"/>
          <w:szCs w:val="24"/>
        </w:rPr>
      </w:pPr>
      <w:r>
        <w:rPr>
          <w:rFonts w:ascii="Arial" w:eastAsia="Arial" w:hAnsi="Arial" w:cs="Arial"/>
          <w:sz w:val="24"/>
          <w:szCs w:val="24"/>
        </w:rPr>
        <w:t xml:space="preserve">IV - Suspensão temporária de participação em licitação e impedimento de licitar e contratar com a DPPR pelo prazo de até 2 (dois) anos, nas seguintes hipóteses: </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lastRenderedPageBreak/>
        <w:t xml:space="preserve">a) recusa injustificada, após ser considerado adjudicatário, a assinar o contrato, aceitar ou retirar o instrumento equivalente, dentro do prazo estabelecido pela Administração; </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t xml:space="preserve">b) não manutenção da proposta; </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t>c) abandono da execução contratual;</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t>d) inexecução contratual.</w:t>
      </w:r>
    </w:p>
    <w:p w:rsidR="00865C85" w:rsidRDefault="00043CC6">
      <w:pPr>
        <w:spacing w:before="120" w:line="276" w:lineRule="auto"/>
        <w:ind w:left="720" w:hanging="360"/>
        <w:jc w:val="both"/>
        <w:rPr>
          <w:rFonts w:ascii="Arial" w:eastAsia="Arial" w:hAnsi="Arial" w:cs="Arial"/>
          <w:sz w:val="24"/>
          <w:szCs w:val="24"/>
        </w:rPr>
      </w:pPr>
      <w:r>
        <w:rPr>
          <w:rFonts w:ascii="Arial" w:eastAsia="Arial" w:hAnsi="Arial" w:cs="Arial"/>
          <w:sz w:val="24"/>
          <w:szCs w:val="24"/>
        </w:rPr>
        <w:t>V - Declaração de inidoneidade para licitar ou contratar com a Administração Pública, pelo prazo máximo de 05 (cinco) anos, aplicada à licitante que:</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t>a) apresentação de declaração falsa na fase de habilitação;</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t xml:space="preserve">b) apresentação de documento falso; </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t xml:space="preserve">c) fraude ou frustração do procedimento mediante ajuste, combinação ou qualquer outro expediente; </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t xml:space="preserve">d) afastamento ou tentativa de afastamento de outra licitante por meio de violência, grave ameaça, fraude ou oferecimento de vantagem de qualquer tipo; </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t>e) atuação de má-fé na relação contratual, comprovada em procedimento específico;</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t>f) recebimento de condenação judicial definitiva por praticar, por meios dolosos, fraude fiscal no recolhimento de quaisquer tributos;</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t>g) demonstração de não possuir idoneidade para contratar com a Administração, em virtude de atos ilícitos praticados, em especial infrações à ordem econômica definidos na Lei Federal nº 8.158/91;</w:t>
      </w:r>
    </w:p>
    <w:p w:rsidR="00865C85" w:rsidRDefault="00043CC6">
      <w:pPr>
        <w:spacing w:before="120" w:line="276" w:lineRule="auto"/>
        <w:ind w:left="567" w:hanging="360"/>
        <w:jc w:val="both"/>
        <w:rPr>
          <w:rFonts w:ascii="Arial" w:eastAsia="Arial" w:hAnsi="Arial" w:cs="Arial"/>
          <w:sz w:val="24"/>
          <w:szCs w:val="24"/>
        </w:rPr>
      </w:pPr>
      <w:r>
        <w:rPr>
          <w:rFonts w:ascii="Arial" w:eastAsia="Arial" w:hAnsi="Arial" w:cs="Arial"/>
          <w:sz w:val="24"/>
          <w:szCs w:val="24"/>
        </w:rPr>
        <w:t xml:space="preserve">h) recebimento de condenação definitiva por ato de improbidade administrativa, na forma da lei. </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 xml:space="preserve">As sanções previstas acima poderão ser aplicadas cumulativamente. </w:t>
      </w:r>
    </w:p>
    <w:p w:rsidR="00865C85" w:rsidRDefault="00865C85">
      <w:pPr>
        <w:spacing w:before="120" w:line="276" w:lineRule="auto"/>
        <w:ind w:left="720" w:hanging="360"/>
        <w:jc w:val="both"/>
        <w:rPr>
          <w:rFonts w:ascii="Arial" w:eastAsia="Arial" w:hAnsi="Arial" w:cs="Arial"/>
          <w:sz w:val="24"/>
          <w:szCs w:val="24"/>
        </w:rPr>
      </w:pPr>
    </w:p>
    <w:p w:rsidR="00865C85" w:rsidRDefault="00043CC6">
      <w:pPr>
        <w:numPr>
          <w:ilvl w:val="0"/>
          <w:numId w:val="1"/>
        </w:numPr>
        <w:spacing w:before="120" w:line="276" w:lineRule="auto"/>
        <w:ind w:left="284"/>
        <w:jc w:val="both"/>
        <w:rPr>
          <w:rFonts w:ascii="Arial" w:eastAsia="Arial" w:hAnsi="Arial" w:cs="Arial"/>
          <w:sz w:val="24"/>
          <w:szCs w:val="24"/>
        </w:rPr>
      </w:pPr>
      <w:r>
        <w:rPr>
          <w:rFonts w:ascii="Arial" w:eastAsia="Arial" w:hAnsi="Arial" w:cs="Arial"/>
          <w:b/>
          <w:sz w:val="24"/>
          <w:szCs w:val="24"/>
        </w:rPr>
        <w:t>LEGISLAÇÃO APLICÁVEL</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 xml:space="preserve">Aplicam-se ao presente as disposições contidas na Lei Federal nº 10.520/2002, na Lei Complementar Federal nº 123/2006, na Lei Estadual nº 15.608/2007 e legislação complementar, aplicáveis subsidiariamente, no que couber, a Lei Federal nº 8.666/1993 e a Lei Federal nº 8.078/1990. </w:t>
      </w:r>
    </w:p>
    <w:p w:rsidR="00865C85" w:rsidRDefault="00043CC6">
      <w:pPr>
        <w:numPr>
          <w:ilvl w:val="1"/>
          <w:numId w:val="1"/>
        </w:numPr>
        <w:spacing w:before="120" w:line="276" w:lineRule="auto"/>
        <w:jc w:val="both"/>
        <w:rPr>
          <w:sz w:val="24"/>
          <w:szCs w:val="24"/>
        </w:rPr>
      </w:pPr>
      <w:r>
        <w:rPr>
          <w:rFonts w:ascii="Arial" w:eastAsia="Arial" w:hAnsi="Arial" w:cs="Arial"/>
          <w:sz w:val="24"/>
          <w:szCs w:val="24"/>
        </w:rPr>
        <w:t>Os diplomas legais acima indicados aplicam-se especialmente quanto aos casos omissos.</w:t>
      </w: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043CC6">
      <w:pPr>
        <w:spacing w:line="276" w:lineRule="auto"/>
        <w:jc w:val="center"/>
      </w:pPr>
      <w:r>
        <w:rPr>
          <w:rFonts w:ascii="Verdana" w:eastAsia="Verdana" w:hAnsi="Verdana" w:cs="Verdana"/>
          <w:b/>
        </w:rPr>
        <w:t>ANEXO II – MODELO DE CARTA DE CREDENCIAMENTO</w:t>
      </w:r>
    </w:p>
    <w:p w:rsidR="00865C85" w:rsidRDefault="00865C85">
      <w:pPr>
        <w:spacing w:line="276" w:lineRule="auto"/>
        <w:jc w:val="both"/>
        <w:rPr>
          <w:rFonts w:ascii="Verdana" w:eastAsia="Verdana" w:hAnsi="Verdana" w:cs="Verdana"/>
        </w:rPr>
      </w:pPr>
    </w:p>
    <w:p w:rsidR="00865C85" w:rsidRDefault="00865C85">
      <w:pPr>
        <w:spacing w:line="276" w:lineRule="auto"/>
        <w:jc w:val="both"/>
        <w:rPr>
          <w:rFonts w:ascii="Verdana" w:eastAsia="Verdana" w:hAnsi="Verdana" w:cs="Verdana"/>
        </w:rPr>
      </w:pPr>
    </w:p>
    <w:p w:rsidR="00865C85" w:rsidRDefault="00043CC6">
      <w:pPr>
        <w:spacing w:line="276" w:lineRule="auto"/>
        <w:jc w:val="both"/>
      </w:pPr>
      <w:r>
        <w:rPr>
          <w:rFonts w:ascii="Verdana" w:eastAsia="Verdana" w:hAnsi="Verdana" w:cs="Verdana"/>
        </w:rPr>
        <w:t>À</w:t>
      </w:r>
    </w:p>
    <w:p w:rsidR="00865C85" w:rsidRDefault="00043CC6">
      <w:pPr>
        <w:spacing w:line="276" w:lineRule="auto"/>
        <w:jc w:val="both"/>
      </w:pPr>
      <w:r>
        <w:rPr>
          <w:rFonts w:ascii="Verdana" w:eastAsia="Verdana" w:hAnsi="Verdana" w:cs="Verdana"/>
        </w:rPr>
        <w:t>DEFENSORIA PÚBLICA DO ESTADO DO PARANÁ</w:t>
      </w:r>
    </w:p>
    <w:p w:rsidR="00865C85" w:rsidRDefault="00043CC6">
      <w:pPr>
        <w:spacing w:line="276" w:lineRule="auto"/>
        <w:jc w:val="both"/>
      </w:pPr>
      <w:r>
        <w:rPr>
          <w:rFonts w:ascii="Verdana" w:eastAsia="Verdana" w:hAnsi="Verdana" w:cs="Verdana"/>
        </w:rPr>
        <w:t xml:space="preserve">EDITAL DE PREGÃO ELETRÔNICO Nº </w:t>
      </w:r>
      <w:r w:rsidR="00886A3B">
        <w:rPr>
          <w:rFonts w:ascii="Verdana" w:eastAsia="Verdana" w:hAnsi="Verdana" w:cs="Verdana"/>
        </w:rPr>
        <w:t>007</w:t>
      </w:r>
      <w:r>
        <w:rPr>
          <w:rFonts w:ascii="Verdana" w:eastAsia="Verdana" w:hAnsi="Verdana" w:cs="Verdana"/>
        </w:rPr>
        <w:t>/2022</w:t>
      </w:r>
    </w:p>
    <w:p w:rsidR="00865C85" w:rsidRDefault="00865C85">
      <w:pPr>
        <w:spacing w:line="276" w:lineRule="auto"/>
        <w:jc w:val="both"/>
        <w:rPr>
          <w:rFonts w:ascii="Verdana" w:eastAsia="Verdana" w:hAnsi="Verdana" w:cs="Verdana"/>
        </w:rPr>
      </w:pPr>
    </w:p>
    <w:p w:rsidR="00865C85" w:rsidRDefault="00865C85">
      <w:pPr>
        <w:spacing w:line="276" w:lineRule="auto"/>
        <w:jc w:val="both"/>
        <w:rPr>
          <w:rFonts w:ascii="Verdana" w:eastAsia="Verdana" w:hAnsi="Verdana" w:cs="Verdana"/>
        </w:rPr>
      </w:pPr>
    </w:p>
    <w:p w:rsidR="00865C85" w:rsidRDefault="00865C85">
      <w:pPr>
        <w:spacing w:line="276" w:lineRule="auto"/>
        <w:jc w:val="both"/>
        <w:rPr>
          <w:rFonts w:ascii="Verdana" w:eastAsia="Verdana" w:hAnsi="Verdana" w:cs="Verdana"/>
        </w:rPr>
      </w:pPr>
    </w:p>
    <w:p w:rsidR="00865C85" w:rsidRDefault="00043CC6">
      <w:pPr>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rsidR="00865C85" w:rsidRDefault="00865C85">
      <w:pPr>
        <w:spacing w:line="276" w:lineRule="auto"/>
        <w:jc w:val="both"/>
        <w:rPr>
          <w:rFonts w:ascii="Verdana" w:eastAsia="Verdana" w:hAnsi="Verdana" w:cs="Verdana"/>
        </w:rPr>
      </w:pPr>
    </w:p>
    <w:p w:rsidR="00865C85" w:rsidRDefault="00043CC6">
      <w:pPr>
        <w:spacing w:line="276" w:lineRule="auto"/>
        <w:jc w:val="both"/>
      </w:pPr>
      <w:r>
        <w:rPr>
          <w:rFonts w:ascii="Verdana" w:eastAsia="Verdana" w:hAnsi="Verdana" w:cs="Verdana"/>
        </w:rPr>
        <w:t>(Local), __ de __________ de 2022.</w:t>
      </w:r>
    </w:p>
    <w:p w:rsidR="00865C85" w:rsidRDefault="00865C85">
      <w:pPr>
        <w:spacing w:line="276" w:lineRule="auto"/>
        <w:jc w:val="both"/>
        <w:rPr>
          <w:rFonts w:ascii="Verdana" w:eastAsia="Verdana" w:hAnsi="Verdana" w:cs="Verdana"/>
        </w:rPr>
      </w:pPr>
    </w:p>
    <w:p w:rsidR="00865C85" w:rsidRDefault="00865C85">
      <w:pPr>
        <w:spacing w:line="276" w:lineRule="auto"/>
        <w:jc w:val="both"/>
        <w:rPr>
          <w:rFonts w:ascii="Verdana" w:eastAsia="Verdana" w:hAnsi="Verdana" w:cs="Verdana"/>
        </w:rPr>
      </w:pPr>
    </w:p>
    <w:p w:rsidR="00865C85" w:rsidRDefault="00043CC6">
      <w:pPr>
        <w:spacing w:line="276" w:lineRule="auto"/>
        <w:jc w:val="both"/>
      </w:pPr>
      <w:r>
        <w:rPr>
          <w:rFonts w:ascii="Verdana" w:eastAsia="Verdana" w:hAnsi="Verdana" w:cs="Verdana"/>
        </w:rPr>
        <w:t>Atenciosamente,</w:t>
      </w:r>
    </w:p>
    <w:p w:rsidR="00865C85" w:rsidRDefault="00865C85">
      <w:pPr>
        <w:spacing w:line="276" w:lineRule="auto"/>
        <w:jc w:val="both"/>
        <w:rPr>
          <w:rFonts w:ascii="Verdana" w:eastAsia="Verdana" w:hAnsi="Verdana" w:cs="Verdana"/>
        </w:rPr>
      </w:pPr>
    </w:p>
    <w:p w:rsidR="00865C85" w:rsidRDefault="00865C85">
      <w:pPr>
        <w:spacing w:line="276" w:lineRule="auto"/>
        <w:jc w:val="both"/>
        <w:rPr>
          <w:rFonts w:ascii="Verdana" w:eastAsia="Verdana" w:hAnsi="Verdana" w:cs="Verdana"/>
        </w:rPr>
      </w:pPr>
    </w:p>
    <w:p w:rsidR="00865C85" w:rsidRDefault="00043CC6">
      <w:pPr>
        <w:spacing w:line="276" w:lineRule="auto"/>
        <w:jc w:val="center"/>
      </w:pPr>
      <w:r>
        <w:rPr>
          <w:rFonts w:ascii="Verdana" w:eastAsia="Verdana" w:hAnsi="Verdana" w:cs="Verdana"/>
        </w:rPr>
        <w:t>_________________________________________</w:t>
      </w:r>
    </w:p>
    <w:p w:rsidR="00865C85" w:rsidRDefault="00043CC6">
      <w:pPr>
        <w:spacing w:line="276" w:lineRule="auto"/>
        <w:jc w:val="center"/>
      </w:pPr>
      <w:r>
        <w:rPr>
          <w:rFonts w:ascii="Verdana" w:eastAsia="Verdana" w:hAnsi="Verdana" w:cs="Verdana"/>
        </w:rPr>
        <w:t>[Identificação e assinatura do outorgante]</w:t>
      </w: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043CC6">
      <w:pPr>
        <w:spacing w:line="276" w:lineRule="auto"/>
        <w:jc w:val="center"/>
      </w:pPr>
      <w:r>
        <w:rPr>
          <w:rFonts w:ascii="Verdana" w:eastAsia="Verdana" w:hAnsi="Verdana" w:cs="Verdana"/>
          <w:b/>
        </w:rPr>
        <w:t>ANEXO III – MODELO DE DECLARAÇÃO DE CUMPRIMENTO DOS REQUISITOS DE HABILITAÇÃO</w:t>
      </w:r>
    </w:p>
    <w:p w:rsidR="00865C85" w:rsidRDefault="00865C85">
      <w:pPr>
        <w:spacing w:line="276" w:lineRule="auto"/>
        <w:jc w:val="both"/>
        <w:rPr>
          <w:rFonts w:ascii="Verdana" w:eastAsia="Verdana" w:hAnsi="Verdana" w:cs="Verdana"/>
        </w:rPr>
      </w:pPr>
    </w:p>
    <w:p w:rsidR="00865C85" w:rsidRDefault="00865C85">
      <w:pPr>
        <w:spacing w:line="276" w:lineRule="auto"/>
        <w:jc w:val="both"/>
        <w:rPr>
          <w:rFonts w:ascii="Verdana" w:eastAsia="Verdana" w:hAnsi="Verdana" w:cs="Verdana"/>
        </w:rPr>
      </w:pPr>
    </w:p>
    <w:p w:rsidR="00865C85" w:rsidRDefault="00043CC6">
      <w:pPr>
        <w:spacing w:line="276" w:lineRule="auto"/>
        <w:jc w:val="both"/>
      </w:pPr>
      <w:r>
        <w:rPr>
          <w:rFonts w:ascii="Verdana" w:eastAsia="Verdana" w:hAnsi="Verdana" w:cs="Verdana"/>
        </w:rPr>
        <w:t>À</w:t>
      </w:r>
    </w:p>
    <w:p w:rsidR="00865C85" w:rsidRDefault="00043CC6">
      <w:pPr>
        <w:spacing w:line="276" w:lineRule="auto"/>
        <w:jc w:val="both"/>
      </w:pPr>
      <w:r>
        <w:rPr>
          <w:rFonts w:ascii="Verdana" w:eastAsia="Verdana" w:hAnsi="Verdana" w:cs="Verdana"/>
        </w:rPr>
        <w:t>DEFENSORIA PÚBLICA DO ESTADO DO PARANÁ</w:t>
      </w:r>
    </w:p>
    <w:p w:rsidR="00865C85" w:rsidRDefault="00043CC6">
      <w:pPr>
        <w:spacing w:line="276" w:lineRule="auto"/>
        <w:jc w:val="both"/>
      </w:pPr>
      <w:r>
        <w:rPr>
          <w:rFonts w:ascii="Verdana" w:eastAsia="Verdana" w:hAnsi="Verdana" w:cs="Verdana"/>
        </w:rPr>
        <w:t xml:space="preserve">EDITAL DE PREGÃO ELETRÔNICO Nº </w:t>
      </w:r>
      <w:r w:rsidR="00886A3B">
        <w:rPr>
          <w:rFonts w:ascii="Verdana" w:eastAsia="Verdana" w:hAnsi="Verdana" w:cs="Verdana"/>
        </w:rPr>
        <w:t>007</w:t>
      </w:r>
      <w:r>
        <w:rPr>
          <w:rFonts w:ascii="Verdana" w:eastAsia="Verdana" w:hAnsi="Verdana" w:cs="Verdana"/>
        </w:rPr>
        <w:t>/2022</w:t>
      </w:r>
    </w:p>
    <w:p w:rsidR="00865C85" w:rsidRDefault="00865C85">
      <w:pPr>
        <w:spacing w:line="276" w:lineRule="auto"/>
        <w:jc w:val="both"/>
        <w:rPr>
          <w:rFonts w:ascii="Verdana" w:eastAsia="Verdana" w:hAnsi="Verdana" w:cs="Verdana"/>
        </w:rPr>
      </w:pPr>
    </w:p>
    <w:p w:rsidR="00865C85" w:rsidRDefault="00865C85">
      <w:pPr>
        <w:spacing w:line="276" w:lineRule="auto"/>
        <w:jc w:val="both"/>
        <w:rPr>
          <w:rFonts w:ascii="Verdana" w:eastAsia="Verdana" w:hAnsi="Verdana" w:cs="Verdana"/>
        </w:rPr>
      </w:pPr>
    </w:p>
    <w:p w:rsidR="00865C85" w:rsidRDefault="00865C85">
      <w:pPr>
        <w:spacing w:line="276" w:lineRule="auto"/>
        <w:jc w:val="both"/>
        <w:rPr>
          <w:rFonts w:ascii="Verdana" w:eastAsia="Verdana" w:hAnsi="Verdana" w:cs="Verdana"/>
        </w:rPr>
      </w:pPr>
    </w:p>
    <w:p w:rsidR="00865C85" w:rsidRDefault="00043CC6">
      <w:pPr>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rsidR="00865C85" w:rsidRDefault="00865C85">
      <w:pPr>
        <w:spacing w:line="276" w:lineRule="auto"/>
        <w:jc w:val="both"/>
        <w:rPr>
          <w:rFonts w:ascii="Verdana" w:eastAsia="Verdana" w:hAnsi="Verdana" w:cs="Verdana"/>
        </w:rPr>
      </w:pPr>
    </w:p>
    <w:p w:rsidR="00865C85" w:rsidRDefault="00865C85">
      <w:pPr>
        <w:spacing w:line="276" w:lineRule="auto"/>
        <w:jc w:val="both"/>
        <w:rPr>
          <w:rFonts w:ascii="Verdana" w:eastAsia="Verdana" w:hAnsi="Verdana" w:cs="Verdana"/>
        </w:rPr>
      </w:pPr>
    </w:p>
    <w:p w:rsidR="00865C85" w:rsidRDefault="00043CC6">
      <w:pPr>
        <w:spacing w:line="276" w:lineRule="auto"/>
        <w:jc w:val="both"/>
      </w:pPr>
      <w:r>
        <w:rPr>
          <w:rFonts w:ascii="Verdana" w:eastAsia="Verdana" w:hAnsi="Verdana" w:cs="Verdana"/>
        </w:rPr>
        <w:t>(Local), ___ de _________ de 2022.</w:t>
      </w:r>
    </w:p>
    <w:p w:rsidR="00865C85" w:rsidRDefault="00865C85">
      <w:pPr>
        <w:spacing w:line="276" w:lineRule="auto"/>
        <w:jc w:val="center"/>
        <w:rPr>
          <w:rFonts w:ascii="Verdana" w:eastAsia="Verdana" w:hAnsi="Verdana" w:cs="Verdana"/>
        </w:rPr>
      </w:pPr>
    </w:p>
    <w:p w:rsidR="00865C85" w:rsidRDefault="00865C85">
      <w:pPr>
        <w:spacing w:line="276" w:lineRule="auto"/>
        <w:jc w:val="center"/>
        <w:rPr>
          <w:rFonts w:ascii="Verdana" w:eastAsia="Verdana" w:hAnsi="Verdana" w:cs="Verdana"/>
        </w:rPr>
      </w:pPr>
    </w:p>
    <w:p w:rsidR="00865C85" w:rsidRDefault="00043CC6">
      <w:pPr>
        <w:spacing w:line="276" w:lineRule="auto"/>
        <w:jc w:val="center"/>
      </w:pPr>
      <w:r>
        <w:rPr>
          <w:rFonts w:ascii="Verdana" w:eastAsia="Verdana" w:hAnsi="Verdana" w:cs="Verdana"/>
        </w:rPr>
        <w:t>__________________________________</w:t>
      </w:r>
    </w:p>
    <w:p w:rsidR="00865C85" w:rsidRDefault="00043CC6">
      <w:pPr>
        <w:spacing w:line="276" w:lineRule="auto"/>
        <w:jc w:val="center"/>
      </w:pPr>
      <w:r>
        <w:rPr>
          <w:rFonts w:ascii="Verdana" w:eastAsia="Verdana" w:hAnsi="Verdana" w:cs="Verdana"/>
        </w:rPr>
        <w:t>Nome da Empresa</w:t>
      </w:r>
    </w:p>
    <w:p w:rsidR="00865C85" w:rsidRDefault="00043CC6">
      <w:pPr>
        <w:spacing w:line="276" w:lineRule="auto"/>
        <w:jc w:val="center"/>
      </w:pPr>
      <w:r>
        <w:rPr>
          <w:rFonts w:ascii="Verdana" w:eastAsia="Verdana" w:hAnsi="Verdana" w:cs="Verdana"/>
        </w:rPr>
        <w:t>CNPJ:</w:t>
      </w:r>
    </w:p>
    <w:p w:rsidR="00865C85" w:rsidRDefault="00865C85">
      <w:pPr>
        <w:spacing w:line="276" w:lineRule="auto"/>
        <w:jc w:val="both"/>
        <w:rPr>
          <w:rFonts w:ascii="Verdana" w:eastAsia="Verdana" w:hAnsi="Verdana" w:cs="Verdana"/>
        </w:rPr>
      </w:pPr>
    </w:p>
    <w:p w:rsidR="00865C85" w:rsidRDefault="00865C85">
      <w:pPr>
        <w:spacing w:line="276" w:lineRule="auto"/>
        <w:jc w:val="both"/>
        <w:rPr>
          <w:rFonts w:ascii="Verdana" w:eastAsia="Verdana" w:hAnsi="Verdana" w:cs="Verdana"/>
        </w:rPr>
      </w:pPr>
    </w:p>
    <w:p w:rsidR="00865C85" w:rsidRDefault="00043CC6">
      <w:pPr>
        <w:spacing w:line="276" w:lineRule="auto"/>
        <w:jc w:val="center"/>
      </w:pPr>
      <w:r>
        <w:rPr>
          <w:rFonts w:ascii="Verdana" w:eastAsia="Verdana" w:hAnsi="Verdana" w:cs="Verdana"/>
        </w:rPr>
        <w:t>__________________________________</w:t>
      </w:r>
    </w:p>
    <w:p w:rsidR="00865C85" w:rsidRDefault="00043CC6">
      <w:pPr>
        <w:spacing w:line="276" w:lineRule="auto"/>
        <w:jc w:val="center"/>
      </w:pPr>
      <w:r>
        <w:rPr>
          <w:rFonts w:ascii="Verdana" w:eastAsia="Verdana" w:hAnsi="Verdana" w:cs="Verdana"/>
        </w:rPr>
        <w:t>Representante Legal ou Procurador do Licitante</w:t>
      </w:r>
    </w:p>
    <w:p w:rsidR="00865C85" w:rsidRDefault="00043CC6">
      <w:pPr>
        <w:spacing w:line="276" w:lineRule="auto"/>
        <w:jc w:val="center"/>
      </w:pPr>
      <w:r>
        <w:rPr>
          <w:rFonts w:ascii="Verdana" w:eastAsia="Verdana" w:hAnsi="Verdana" w:cs="Verdana"/>
        </w:rPr>
        <w:t>(nome e assinatura)</w:t>
      </w: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043CC6">
      <w:pPr>
        <w:spacing w:line="276" w:lineRule="auto"/>
        <w:jc w:val="center"/>
      </w:pPr>
      <w:r>
        <w:rPr>
          <w:rFonts w:ascii="Verdana" w:eastAsia="Verdana" w:hAnsi="Verdana" w:cs="Verdana"/>
          <w:b/>
        </w:rPr>
        <w:t>ANEXO IV – MODELO DE DECLARAÇÃO DE CONDIÇÃO DE BENEFICIÁRIA DO TRATAMENTO FAVORECIDO PREVISTO NA LC 123/2006</w:t>
      </w:r>
    </w:p>
    <w:p w:rsidR="00865C85" w:rsidRDefault="00865C85">
      <w:pPr>
        <w:spacing w:line="276" w:lineRule="auto"/>
        <w:jc w:val="both"/>
        <w:rPr>
          <w:rFonts w:ascii="Verdana" w:eastAsia="Verdana" w:hAnsi="Verdana" w:cs="Verdana"/>
        </w:rPr>
      </w:pPr>
    </w:p>
    <w:p w:rsidR="00865C85" w:rsidRDefault="00865C85">
      <w:pPr>
        <w:spacing w:line="276" w:lineRule="auto"/>
        <w:jc w:val="both"/>
        <w:rPr>
          <w:rFonts w:ascii="Verdana" w:eastAsia="Verdana" w:hAnsi="Verdana" w:cs="Verdana"/>
        </w:rPr>
      </w:pPr>
    </w:p>
    <w:p w:rsidR="00865C85" w:rsidRDefault="00043CC6">
      <w:pPr>
        <w:spacing w:line="276" w:lineRule="auto"/>
        <w:jc w:val="both"/>
      </w:pPr>
      <w:r>
        <w:rPr>
          <w:rFonts w:ascii="Verdana" w:eastAsia="Verdana" w:hAnsi="Verdana" w:cs="Verdana"/>
        </w:rPr>
        <w:t>À</w:t>
      </w:r>
    </w:p>
    <w:p w:rsidR="00865C85" w:rsidRDefault="00043CC6">
      <w:pPr>
        <w:spacing w:line="276" w:lineRule="auto"/>
        <w:jc w:val="both"/>
      </w:pPr>
      <w:r>
        <w:rPr>
          <w:rFonts w:ascii="Verdana" w:eastAsia="Verdana" w:hAnsi="Verdana" w:cs="Verdana"/>
        </w:rPr>
        <w:t>DEFENSORIA PÚBLICA DO ESTADO DO PARANÁ</w:t>
      </w:r>
    </w:p>
    <w:p w:rsidR="00865C85" w:rsidRDefault="00043CC6">
      <w:pPr>
        <w:spacing w:line="276" w:lineRule="auto"/>
        <w:jc w:val="both"/>
      </w:pPr>
      <w:r>
        <w:rPr>
          <w:rFonts w:ascii="Verdana" w:eastAsia="Verdana" w:hAnsi="Verdana" w:cs="Verdana"/>
        </w:rPr>
        <w:t xml:space="preserve">EDITAL DE PREGÃO ELETRÔNICO Nº </w:t>
      </w:r>
      <w:r w:rsidR="00886A3B">
        <w:rPr>
          <w:rFonts w:ascii="Verdana" w:eastAsia="Verdana" w:hAnsi="Verdana" w:cs="Verdana"/>
        </w:rPr>
        <w:t>007</w:t>
      </w:r>
      <w:r>
        <w:rPr>
          <w:rFonts w:ascii="Verdana" w:eastAsia="Verdana" w:hAnsi="Verdana" w:cs="Verdana"/>
        </w:rPr>
        <w:t>/2022</w:t>
      </w:r>
    </w:p>
    <w:p w:rsidR="00865C85" w:rsidRDefault="00865C85">
      <w:pPr>
        <w:spacing w:line="276" w:lineRule="auto"/>
        <w:jc w:val="both"/>
        <w:rPr>
          <w:rFonts w:ascii="Verdana" w:eastAsia="Verdana" w:hAnsi="Verdana" w:cs="Verdana"/>
        </w:rPr>
      </w:pPr>
    </w:p>
    <w:p w:rsidR="00865C85" w:rsidRDefault="00865C85">
      <w:pPr>
        <w:spacing w:line="276" w:lineRule="auto"/>
        <w:jc w:val="both"/>
        <w:rPr>
          <w:rFonts w:ascii="Verdana" w:eastAsia="Verdana" w:hAnsi="Verdana" w:cs="Verdana"/>
        </w:rPr>
      </w:pPr>
    </w:p>
    <w:p w:rsidR="00865C85" w:rsidRDefault="00865C85">
      <w:pPr>
        <w:spacing w:line="276" w:lineRule="auto"/>
        <w:jc w:val="both"/>
        <w:rPr>
          <w:rFonts w:ascii="Verdana" w:eastAsia="Verdana" w:hAnsi="Verdana" w:cs="Verdana"/>
        </w:rPr>
      </w:pPr>
    </w:p>
    <w:p w:rsidR="00865C85" w:rsidRDefault="00043CC6">
      <w:pPr>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rsidR="00865C85" w:rsidRDefault="00043CC6">
      <w:pPr>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rsidR="00865C85" w:rsidRDefault="00865C85">
      <w:pPr>
        <w:spacing w:line="276" w:lineRule="auto"/>
        <w:jc w:val="both"/>
        <w:rPr>
          <w:rFonts w:ascii="Verdana" w:eastAsia="Verdana" w:hAnsi="Verdana" w:cs="Verdana"/>
        </w:rPr>
      </w:pPr>
    </w:p>
    <w:p w:rsidR="00865C85" w:rsidRDefault="00865C85">
      <w:pPr>
        <w:spacing w:line="276" w:lineRule="auto"/>
        <w:jc w:val="both"/>
        <w:rPr>
          <w:rFonts w:ascii="Verdana" w:eastAsia="Verdana" w:hAnsi="Verdana" w:cs="Verdana"/>
        </w:rPr>
      </w:pPr>
    </w:p>
    <w:p w:rsidR="00865C85" w:rsidRDefault="00043CC6">
      <w:pPr>
        <w:spacing w:line="276" w:lineRule="auto"/>
        <w:jc w:val="center"/>
      </w:pPr>
      <w:r>
        <w:rPr>
          <w:rFonts w:ascii="Verdana" w:eastAsia="Verdana" w:hAnsi="Verdana" w:cs="Verdana"/>
        </w:rPr>
        <w:t>_______________________________________</w:t>
      </w:r>
    </w:p>
    <w:p w:rsidR="00865C85" w:rsidRDefault="00043CC6">
      <w:pPr>
        <w:spacing w:line="276" w:lineRule="auto"/>
        <w:jc w:val="center"/>
      </w:pPr>
      <w:r>
        <w:rPr>
          <w:rFonts w:ascii="Verdana" w:eastAsia="Verdana" w:hAnsi="Verdana" w:cs="Verdana"/>
        </w:rPr>
        <w:t>Local e Data</w:t>
      </w:r>
    </w:p>
    <w:p w:rsidR="00865C85" w:rsidRDefault="00865C85">
      <w:pPr>
        <w:spacing w:line="276" w:lineRule="auto"/>
        <w:jc w:val="both"/>
        <w:rPr>
          <w:rFonts w:ascii="Verdana" w:eastAsia="Verdana" w:hAnsi="Verdana" w:cs="Verdana"/>
        </w:rPr>
      </w:pPr>
    </w:p>
    <w:p w:rsidR="00865C85" w:rsidRDefault="00865C85">
      <w:pPr>
        <w:spacing w:line="276" w:lineRule="auto"/>
        <w:jc w:val="both"/>
        <w:rPr>
          <w:rFonts w:ascii="Verdana" w:eastAsia="Verdana" w:hAnsi="Verdana" w:cs="Verdana"/>
        </w:rPr>
      </w:pPr>
    </w:p>
    <w:p w:rsidR="00865C85" w:rsidRDefault="00865C85">
      <w:pPr>
        <w:spacing w:line="276" w:lineRule="auto"/>
        <w:jc w:val="both"/>
        <w:rPr>
          <w:rFonts w:ascii="Verdana" w:eastAsia="Verdana" w:hAnsi="Verdana" w:cs="Verdana"/>
        </w:rPr>
      </w:pPr>
    </w:p>
    <w:p w:rsidR="00865C85" w:rsidRDefault="00043CC6">
      <w:pPr>
        <w:spacing w:line="276" w:lineRule="auto"/>
        <w:jc w:val="center"/>
      </w:pPr>
      <w:r>
        <w:rPr>
          <w:rFonts w:ascii="Verdana" w:eastAsia="Verdana" w:hAnsi="Verdana" w:cs="Verdana"/>
        </w:rPr>
        <w:t>_________________________________________________</w:t>
      </w:r>
    </w:p>
    <w:p w:rsidR="00865C85" w:rsidRDefault="00043CC6">
      <w:pPr>
        <w:spacing w:line="276" w:lineRule="auto"/>
        <w:jc w:val="center"/>
      </w:pPr>
      <w:r>
        <w:rPr>
          <w:rFonts w:ascii="Verdana" w:eastAsia="Verdana" w:hAnsi="Verdana" w:cs="Verdana"/>
        </w:rPr>
        <w:t>Representante Legal ou Procurador do Licitante</w:t>
      </w:r>
    </w:p>
    <w:p w:rsidR="00865C85" w:rsidRDefault="00043CC6">
      <w:pPr>
        <w:spacing w:line="276" w:lineRule="auto"/>
        <w:jc w:val="center"/>
      </w:pPr>
      <w:r>
        <w:rPr>
          <w:rFonts w:ascii="Verdana" w:eastAsia="Verdana" w:hAnsi="Verdana" w:cs="Verdana"/>
        </w:rPr>
        <w:t>(nome e assinatura)</w:t>
      </w: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043CC6">
      <w:pPr>
        <w:spacing w:line="276" w:lineRule="auto"/>
        <w:jc w:val="center"/>
      </w:pPr>
      <w:r>
        <w:rPr>
          <w:rFonts w:ascii="Verdana" w:eastAsia="Verdana" w:hAnsi="Verdana" w:cs="Verdana"/>
          <w:b/>
        </w:rPr>
        <w:t>ANEXO V – MODELO DE PROPOSTA DE PREÇOS</w:t>
      </w:r>
    </w:p>
    <w:p w:rsidR="00865C85" w:rsidRDefault="00865C85">
      <w:pPr>
        <w:spacing w:line="276" w:lineRule="auto"/>
        <w:jc w:val="both"/>
        <w:rPr>
          <w:rFonts w:ascii="Verdana" w:eastAsia="Verdana" w:hAnsi="Verdana" w:cs="Verdana"/>
        </w:rPr>
      </w:pPr>
    </w:p>
    <w:p w:rsidR="00865C85" w:rsidRDefault="00865C85">
      <w:pPr>
        <w:spacing w:line="276" w:lineRule="auto"/>
        <w:jc w:val="both"/>
        <w:rPr>
          <w:rFonts w:ascii="Verdana" w:eastAsia="Verdana" w:hAnsi="Verdana" w:cs="Verdana"/>
        </w:rPr>
      </w:pPr>
    </w:p>
    <w:p w:rsidR="00865C85" w:rsidRDefault="00043CC6">
      <w:pPr>
        <w:spacing w:line="276" w:lineRule="auto"/>
        <w:jc w:val="both"/>
      </w:pPr>
      <w:r>
        <w:rPr>
          <w:rFonts w:ascii="Verdana" w:eastAsia="Verdana" w:hAnsi="Verdana" w:cs="Verdana"/>
        </w:rPr>
        <w:t>À</w:t>
      </w:r>
    </w:p>
    <w:p w:rsidR="00865C85" w:rsidRDefault="00043CC6">
      <w:pPr>
        <w:spacing w:line="276" w:lineRule="auto"/>
        <w:jc w:val="both"/>
      </w:pPr>
      <w:r>
        <w:rPr>
          <w:rFonts w:ascii="Verdana" w:eastAsia="Verdana" w:hAnsi="Verdana" w:cs="Verdana"/>
        </w:rPr>
        <w:t>DEFENSORIA PÚBLICA DO ESTADO DO PARANÁ</w:t>
      </w:r>
    </w:p>
    <w:p w:rsidR="00865C85" w:rsidRDefault="00043CC6">
      <w:pPr>
        <w:spacing w:line="276" w:lineRule="auto"/>
        <w:jc w:val="both"/>
      </w:pPr>
      <w:r>
        <w:rPr>
          <w:rFonts w:ascii="Verdana" w:eastAsia="Verdana" w:hAnsi="Verdana" w:cs="Verdana"/>
        </w:rPr>
        <w:t xml:space="preserve">EDITAL DE PREGÃO ELETRÔNICO Nº </w:t>
      </w:r>
      <w:r w:rsidR="00886A3B">
        <w:rPr>
          <w:rFonts w:ascii="Verdana" w:eastAsia="Verdana" w:hAnsi="Verdana" w:cs="Verdana"/>
        </w:rPr>
        <w:t>007</w:t>
      </w:r>
      <w:r>
        <w:rPr>
          <w:rFonts w:ascii="Verdana" w:eastAsia="Verdana" w:hAnsi="Verdana" w:cs="Verdana"/>
        </w:rPr>
        <w:t>/2022</w:t>
      </w:r>
    </w:p>
    <w:p w:rsidR="00865C85" w:rsidRDefault="00865C85">
      <w:pPr>
        <w:spacing w:line="276" w:lineRule="auto"/>
        <w:jc w:val="both"/>
        <w:rPr>
          <w:rFonts w:ascii="Verdana" w:eastAsia="Verdana" w:hAnsi="Verdana" w:cs="Verdana"/>
        </w:rPr>
      </w:pPr>
    </w:p>
    <w:p w:rsidR="00865C85" w:rsidRDefault="00865C85">
      <w:pPr>
        <w:spacing w:line="276" w:lineRule="auto"/>
        <w:jc w:val="both"/>
        <w:rPr>
          <w:rFonts w:ascii="Verdana" w:eastAsia="Verdana" w:hAnsi="Verdana" w:cs="Verdana"/>
        </w:rPr>
      </w:pPr>
    </w:p>
    <w:p w:rsidR="00865C85" w:rsidRDefault="00043CC6">
      <w:pPr>
        <w:spacing w:line="276" w:lineRule="auto"/>
        <w:jc w:val="both"/>
      </w:pPr>
      <w:r>
        <w:rPr>
          <w:rFonts w:ascii="Verdana" w:eastAsia="Verdana" w:hAnsi="Verdana" w:cs="Verdana"/>
        </w:rPr>
        <w:t>Nome do Representante:</w:t>
      </w:r>
    </w:p>
    <w:p w:rsidR="00865C85" w:rsidRDefault="00043CC6">
      <w:pPr>
        <w:spacing w:line="276" w:lineRule="auto"/>
        <w:jc w:val="both"/>
      </w:pPr>
      <w:r>
        <w:rPr>
          <w:rFonts w:ascii="Verdana" w:eastAsia="Verdana" w:hAnsi="Verdana" w:cs="Verdana"/>
        </w:rPr>
        <w:t>RG:</w:t>
      </w:r>
    </w:p>
    <w:p w:rsidR="00865C85" w:rsidRDefault="00043CC6">
      <w:pPr>
        <w:spacing w:line="276" w:lineRule="auto"/>
        <w:jc w:val="both"/>
      </w:pPr>
      <w:r>
        <w:rPr>
          <w:rFonts w:ascii="Verdana" w:eastAsia="Verdana" w:hAnsi="Verdana" w:cs="Verdana"/>
        </w:rPr>
        <w:t>CPF:</w:t>
      </w:r>
    </w:p>
    <w:p w:rsidR="00865C85" w:rsidRDefault="00043CC6">
      <w:pPr>
        <w:spacing w:line="276" w:lineRule="auto"/>
        <w:jc w:val="both"/>
      </w:pPr>
      <w:r>
        <w:rPr>
          <w:rFonts w:ascii="Verdana" w:eastAsia="Verdana" w:hAnsi="Verdana" w:cs="Verdana"/>
        </w:rPr>
        <w:t>Razão Social da Empresa:</w:t>
      </w:r>
    </w:p>
    <w:p w:rsidR="00865C85" w:rsidRDefault="00043CC6">
      <w:pPr>
        <w:spacing w:line="276" w:lineRule="auto"/>
        <w:jc w:val="both"/>
      </w:pPr>
      <w:r>
        <w:rPr>
          <w:rFonts w:ascii="Verdana" w:eastAsia="Verdana" w:hAnsi="Verdana" w:cs="Verdana"/>
        </w:rPr>
        <w:t>CNPJ:</w:t>
      </w:r>
    </w:p>
    <w:p w:rsidR="00865C85" w:rsidRDefault="00043CC6">
      <w:pPr>
        <w:spacing w:line="276" w:lineRule="auto"/>
        <w:jc w:val="both"/>
      </w:pPr>
      <w:r>
        <w:rPr>
          <w:rFonts w:ascii="Verdana" w:eastAsia="Verdana" w:hAnsi="Verdana" w:cs="Verdana"/>
        </w:rPr>
        <w:t>Endereço:</w:t>
      </w:r>
    </w:p>
    <w:p w:rsidR="00865C85" w:rsidRDefault="00043CC6">
      <w:pPr>
        <w:spacing w:line="276" w:lineRule="auto"/>
        <w:jc w:val="both"/>
      </w:pPr>
      <w:r>
        <w:rPr>
          <w:rFonts w:ascii="Verdana" w:eastAsia="Verdana" w:hAnsi="Verdana" w:cs="Verdana"/>
        </w:rPr>
        <w:t>Telefone:</w:t>
      </w:r>
    </w:p>
    <w:p w:rsidR="00865C85" w:rsidRDefault="00043CC6">
      <w:pPr>
        <w:spacing w:line="276" w:lineRule="auto"/>
        <w:jc w:val="both"/>
      </w:pPr>
      <w:r>
        <w:rPr>
          <w:rFonts w:ascii="Verdana" w:eastAsia="Verdana" w:hAnsi="Verdana" w:cs="Verdana"/>
        </w:rPr>
        <w:t>Email:</w:t>
      </w:r>
    </w:p>
    <w:p w:rsidR="00865C85" w:rsidRDefault="00043CC6">
      <w:pPr>
        <w:spacing w:line="276" w:lineRule="auto"/>
        <w:jc w:val="both"/>
      </w:pPr>
      <w:r>
        <w:rPr>
          <w:rFonts w:ascii="Verdana" w:eastAsia="Verdana" w:hAnsi="Verdana" w:cs="Verdana"/>
        </w:rPr>
        <w:t>Banco, agência e conta para pagamento:</w:t>
      </w:r>
    </w:p>
    <w:p w:rsidR="00865C85" w:rsidRDefault="00865C85">
      <w:pPr>
        <w:spacing w:line="276" w:lineRule="auto"/>
        <w:jc w:val="both"/>
      </w:pPr>
    </w:p>
    <w:tbl>
      <w:tblPr>
        <w:tblStyle w:val="a7"/>
        <w:tblW w:w="973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82"/>
        <w:gridCol w:w="624"/>
        <w:gridCol w:w="3730"/>
        <w:gridCol w:w="1026"/>
        <w:gridCol w:w="1035"/>
        <w:gridCol w:w="1058"/>
        <w:gridCol w:w="1581"/>
      </w:tblGrid>
      <w:tr w:rsidR="00865C85">
        <w:trPr>
          <w:trHeight w:val="386"/>
        </w:trPr>
        <w:tc>
          <w:tcPr>
            <w:tcW w:w="681"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Lote</w:t>
            </w:r>
          </w:p>
        </w:tc>
        <w:tc>
          <w:tcPr>
            <w:tcW w:w="623"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Item</w:t>
            </w:r>
          </w:p>
        </w:tc>
        <w:tc>
          <w:tcPr>
            <w:tcW w:w="3729"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Especificação</w:t>
            </w:r>
          </w:p>
        </w:tc>
        <w:tc>
          <w:tcPr>
            <w:tcW w:w="1026"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Marca/modelo</w:t>
            </w:r>
          </w:p>
        </w:tc>
        <w:tc>
          <w:tcPr>
            <w:tcW w:w="1035"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Quant.</w:t>
            </w:r>
          </w:p>
        </w:tc>
        <w:tc>
          <w:tcPr>
            <w:tcW w:w="1058" w:type="dxa"/>
            <w:shd w:val="clear" w:color="auto" w:fill="BFBFBF"/>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Valor Unitário</w:t>
            </w:r>
          </w:p>
        </w:tc>
        <w:tc>
          <w:tcPr>
            <w:tcW w:w="1581" w:type="dxa"/>
            <w:shd w:val="clear" w:color="auto" w:fill="BFBFBF"/>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 xml:space="preserve">Valor </w:t>
            </w:r>
            <w:r>
              <w:rPr>
                <w:rFonts w:ascii="Arial" w:eastAsia="Arial" w:hAnsi="Arial" w:cs="Arial"/>
                <w:b/>
                <w:sz w:val="24"/>
                <w:szCs w:val="24"/>
              </w:rPr>
              <w:br/>
              <w:t>Total do Lote</w:t>
            </w:r>
          </w:p>
        </w:tc>
      </w:tr>
      <w:tr w:rsidR="00865C85">
        <w:trPr>
          <w:trHeight w:val="682"/>
        </w:trPr>
        <w:tc>
          <w:tcPr>
            <w:tcW w:w="681" w:type="dxa"/>
            <w:vAlign w:val="center"/>
          </w:tcPr>
          <w:p w:rsidR="00865C85" w:rsidRDefault="00043CC6">
            <w:pPr>
              <w:spacing w:before="120" w:line="276" w:lineRule="auto"/>
              <w:jc w:val="center"/>
              <w:rPr>
                <w:rFonts w:ascii="Arial" w:eastAsia="Arial" w:hAnsi="Arial" w:cs="Arial"/>
                <w:b/>
                <w:sz w:val="22"/>
                <w:szCs w:val="22"/>
              </w:rPr>
            </w:pPr>
            <w:r>
              <w:rPr>
                <w:rFonts w:ascii="Arial" w:eastAsia="Arial" w:hAnsi="Arial" w:cs="Arial"/>
                <w:b/>
                <w:sz w:val="22"/>
                <w:szCs w:val="22"/>
              </w:rPr>
              <w:t>1</w:t>
            </w:r>
          </w:p>
        </w:tc>
        <w:tc>
          <w:tcPr>
            <w:tcW w:w="623" w:type="dxa"/>
            <w:vAlign w:val="center"/>
          </w:tcPr>
          <w:p w:rsidR="00865C85" w:rsidRDefault="00043CC6">
            <w:pPr>
              <w:spacing w:before="120" w:line="276" w:lineRule="auto"/>
              <w:jc w:val="center"/>
              <w:rPr>
                <w:rFonts w:ascii="Arial" w:eastAsia="Arial" w:hAnsi="Arial" w:cs="Arial"/>
                <w:b/>
                <w:sz w:val="22"/>
                <w:szCs w:val="22"/>
              </w:rPr>
            </w:pPr>
            <w:r>
              <w:rPr>
                <w:rFonts w:ascii="Arial" w:eastAsia="Arial" w:hAnsi="Arial" w:cs="Arial"/>
                <w:b/>
                <w:sz w:val="22"/>
                <w:szCs w:val="22"/>
              </w:rPr>
              <w:t>1</w:t>
            </w:r>
          </w:p>
        </w:tc>
        <w:tc>
          <w:tcPr>
            <w:tcW w:w="3729" w:type="dxa"/>
          </w:tcPr>
          <w:p w:rsidR="00865C85" w:rsidRDefault="00043CC6">
            <w:pPr>
              <w:spacing w:before="120" w:line="276" w:lineRule="auto"/>
              <w:jc w:val="both"/>
              <w:rPr>
                <w:rFonts w:ascii="Arial" w:eastAsia="Arial" w:hAnsi="Arial" w:cs="Arial"/>
                <w:sz w:val="22"/>
                <w:szCs w:val="22"/>
              </w:rPr>
            </w:pPr>
            <w:r>
              <w:rPr>
                <w:rFonts w:ascii="Arial" w:eastAsia="Arial" w:hAnsi="Arial" w:cs="Arial"/>
                <w:b/>
                <w:sz w:val="22"/>
                <w:szCs w:val="22"/>
              </w:rPr>
              <w:t>Mouse pad</w:t>
            </w:r>
            <w:r>
              <w:rPr>
                <w:rFonts w:ascii="Arial" w:eastAsia="Arial" w:hAnsi="Arial" w:cs="Arial"/>
                <w:sz w:val="22"/>
                <w:szCs w:val="22"/>
              </w:rPr>
              <w:t>, MATERIAL: superfície em tecido e base em EVA, DIMENSÃO: 180x220mm, COR: Preto, USO: Manuseio do mouse, UNID. DE MEDIDA: Unitário</w:t>
            </w:r>
          </w:p>
        </w:tc>
        <w:tc>
          <w:tcPr>
            <w:tcW w:w="1026" w:type="dxa"/>
          </w:tcPr>
          <w:p w:rsidR="00865C85" w:rsidRDefault="00865C85">
            <w:pPr>
              <w:spacing w:before="120" w:line="276" w:lineRule="auto"/>
              <w:jc w:val="both"/>
              <w:rPr>
                <w:rFonts w:ascii="Arial" w:eastAsia="Arial" w:hAnsi="Arial" w:cs="Arial"/>
                <w:b/>
                <w:sz w:val="22"/>
                <w:szCs w:val="22"/>
              </w:rPr>
            </w:pPr>
          </w:p>
        </w:tc>
        <w:tc>
          <w:tcPr>
            <w:tcW w:w="1035" w:type="dxa"/>
            <w:vAlign w:val="center"/>
          </w:tcPr>
          <w:p w:rsidR="00865C85" w:rsidRDefault="00043CC6">
            <w:pPr>
              <w:spacing w:before="120" w:line="276" w:lineRule="auto"/>
              <w:jc w:val="center"/>
              <w:rPr>
                <w:rFonts w:ascii="Arial" w:eastAsia="Arial" w:hAnsi="Arial" w:cs="Arial"/>
                <w:sz w:val="22"/>
                <w:szCs w:val="22"/>
              </w:rPr>
            </w:pPr>
            <w:r>
              <w:rPr>
                <w:rFonts w:ascii="Arial" w:eastAsia="Arial" w:hAnsi="Arial" w:cs="Arial"/>
                <w:sz w:val="22"/>
                <w:szCs w:val="22"/>
              </w:rPr>
              <w:t>300</w:t>
            </w:r>
          </w:p>
        </w:tc>
        <w:tc>
          <w:tcPr>
            <w:tcW w:w="1058" w:type="dxa"/>
            <w:vAlign w:val="center"/>
          </w:tcPr>
          <w:p w:rsidR="00865C85" w:rsidRDefault="00043CC6">
            <w:pPr>
              <w:spacing w:before="120" w:line="276" w:lineRule="auto"/>
              <w:jc w:val="center"/>
              <w:rPr>
                <w:rFonts w:ascii="Arial" w:eastAsia="Arial" w:hAnsi="Arial" w:cs="Arial"/>
                <w:sz w:val="22"/>
                <w:szCs w:val="22"/>
              </w:rPr>
            </w:pPr>
            <w:r>
              <w:rPr>
                <w:rFonts w:ascii="Arial" w:eastAsia="Arial" w:hAnsi="Arial" w:cs="Arial"/>
                <w:sz w:val="22"/>
                <w:szCs w:val="22"/>
              </w:rPr>
              <w:t>R$</w:t>
            </w:r>
          </w:p>
        </w:tc>
        <w:tc>
          <w:tcPr>
            <w:tcW w:w="1581" w:type="dxa"/>
            <w:vAlign w:val="center"/>
          </w:tcPr>
          <w:p w:rsidR="00865C85" w:rsidRDefault="00043CC6">
            <w:pPr>
              <w:spacing w:before="120" w:line="276" w:lineRule="auto"/>
              <w:jc w:val="center"/>
              <w:rPr>
                <w:rFonts w:ascii="Arial" w:eastAsia="Arial" w:hAnsi="Arial" w:cs="Arial"/>
                <w:sz w:val="22"/>
                <w:szCs w:val="22"/>
              </w:rPr>
            </w:pPr>
            <w:r>
              <w:rPr>
                <w:rFonts w:ascii="Arial" w:eastAsia="Arial" w:hAnsi="Arial" w:cs="Arial"/>
                <w:sz w:val="22"/>
                <w:szCs w:val="22"/>
              </w:rPr>
              <w:t>R$</w:t>
            </w:r>
          </w:p>
        </w:tc>
      </w:tr>
    </w:tbl>
    <w:p w:rsidR="00865C85" w:rsidRDefault="00865C85">
      <w:pPr>
        <w:spacing w:before="120" w:line="276" w:lineRule="auto"/>
        <w:jc w:val="both"/>
        <w:rPr>
          <w:rFonts w:ascii="Arial" w:eastAsia="Arial" w:hAnsi="Arial" w:cs="Arial"/>
          <w:b/>
          <w:sz w:val="24"/>
          <w:szCs w:val="24"/>
        </w:rPr>
      </w:pPr>
    </w:p>
    <w:p w:rsidR="00865C85" w:rsidRDefault="00865C85">
      <w:pPr>
        <w:spacing w:before="120" w:line="276" w:lineRule="auto"/>
        <w:jc w:val="both"/>
        <w:rPr>
          <w:rFonts w:ascii="Arial" w:eastAsia="Arial" w:hAnsi="Arial" w:cs="Arial"/>
          <w:b/>
          <w:sz w:val="24"/>
          <w:szCs w:val="24"/>
        </w:rPr>
      </w:pPr>
    </w:p>
    <w:tbl>
      <w:tblPr>
        <w:tblStyle w:val="a8"/>
        <w:tblW w:w="971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37"/>
        <w:gridCol w:w="619"/>
        <w:gridCol w:w="3776"/>
        <w:gridCol w:w="1009"/>
        <w:gridCol w:w="1065"/>
        <w:gridCol w:w="1078"/>
        <w:gridCol w:w="1531"/>
      </w:tblGrid>
      <w:tr w:rsidR="00865C85">
        <w:trPr>
          <w:trHeight w:val="386"/>
        </w:trPr>
        <w:tc>
          <w:tcPr>
            <w:tcW w:w="636"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Lote</w:t>
            </w:r>
          </w:p>
        </w:tc>
        <w:tc>
          <w:tcPr>
            <w:tcW w:w="618"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Item</w:t>
            </w:r>
          </w:p>
        </w:tc>
        <w:tc>
          <w:tcPr>
            <w:tcW w:w="3775"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Especificação</w:t>
            </w:r>
          </w:p>
        </w:tc>
        <w:tc>
          <w:tcPr>
            <w:tcW w:w="1009"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Marca/modelo</w:t>
            </w:r>
          </w:p>
        </w:tc>
        <w:tc>
          <w:tcPr>
            <w:tcW w:w="1065"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Quant.</w:t>
            </w:r>
          </w:p>
        </w:tc>
        <w:tc>
          <w:tcPr>
            <w:tcW w:w="1078" w:type="dxa"/>
            <w:shd w:val="clear" w:color="auto" w:fill="BFBFBF"/>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Valor Unitário</w:t>
            </w:r>
          </w:p>
        </w:tc>
        <w:tc>
          <w:tcPr>
            <w:tcW w:w="1531" w:type="dxa"/>
            <w:shd w:val="clear" w:color="auto" w:fill="BFBFBF"/>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 xml:space="preserve">Valor </w:t>
            </w:r>
            <w:r>
              <w:rPr>
                <w:rFonts w:ascii="Arial" w:eastAsia="Arial" w:hAnsi="Arial" w:cs="Arial"/>
                <w:b/>
                <w:sz w:val="24"/>
                <w:szCs w:val="24"/>
              </w:rPr>
              <w:br/>
              <w:t>Total do Lote</w:t>
            </w:r>
          </w:p>
        </w:tc>
      </w:tr>
      <w:tr w:rsidR="00865C85">
        <w:trPr>
          <w:trHeight w:val="682"/>
        </w:trPr>
        <w:tc>
          <w:tcPr>
            <w:tcW w:w="636" w:type="dxa"/>
            <w:vAlign w:val="center"/>
          </w:tcPr>
          <w:p w:rsidR="00865C85" w:rsidRDefault="00043CC6">
            <w:pPr>
              <w:spacing w:before="120" w:line="276" w:lineRule="auto"/>
              <w:jc w:val="center"/>
              <w:rPr>
                <w:rFonts w:ascii="Arial" w:eastAsia="Arial" w:hAnsi="Arial" w:cs="Arial"/>
                <w:b/>
                <w:sz w:val="22"/>
                <w:szCs w:val="22"/>
              </w:rPr>
            </w:pPr>
            <w:r>
              <w:rPr>
                <w:rFonts w:ascii="Arial" w:eastAsia="Arial" w:hAnsi="Arial" w:cs="Arial"/>
                <w:b/>
                <w:sz w:val="22"/>
                <w:szCs w:val="22"/>
              </w:rPr>
              <w:t>2</w:t>
            </w:r>
          </w:p>
        </w:tc>
        <w:tc>
          <w:tcPr>
            <w:tcW w:w="618" w:type="dxa"/>
            <w:vAlign w:val="center"/>
          </w:tcPr>
          <w:p w:rsidR="00865C85" w:rsidRDefault="00043CC6">
            <w:pPr>
              <w:spacing w:before="120" w:line="276" w:lineRule="auto"/>
              <w:jc w:val="center"/>
              <w:rPr>
                <w:rFonts w:ascii="Arial" w:eastAsia="Arial" w:hAnsi="Arial" w:cs="Arial"/>
                <w:b/>
                <w:sz w:val="22"/>
                <w:szCs w:val="22"/>
              </w:rPr>
            </w:pPr>
            <w:r>
              <w:rPr>
                <w:rFonts w:ascii="Arial" w:eastAsia="Arial" w:hAnsi="Arial" w:cs="Arial"/>
                <w:b/>
                <w:sz w:val="22"/>
                <w:szCs w:val="22"/>
              </w:rPr>
              <w:t xml:space="preserve">  1</w:t>
            </w:r>
          </w:p>
        </w:tc>
        <w:tc>
          <w:tcPr>
            <w:tcW w:w="3775" w:type="dxa"/>
          </w:tcPr>
          <w:p w:rsidR="00865C85" w:rsidRDefault="00043CC6">
            <w:pPr>
              <w:spacing w:before="120" w:line="276" w:lineRule="auto"/>
              <w:jc w:val="both"/>
              <w:rPr>
                <w:rFonts w:ascii="Arial" w:eastAsia="Arial" w:hAnsi="Arial" w:cs="Arial"/>
                <w:sz w:val="22"/>
                <w:szCs w:val="22"/>
              </w:rPr>
            </w:pPr>
            <w:r>
              <w:rPr>
                <w:rFonts w:ascii="Arial" w:eastAsia="Arial" w:hAnsi="Arial" w:cs="Arial"/>
                <w:b/>
                <w:sz w:val="22"/>
                <w:szCs w:val="22"/>
              </w:rPr>
              <w:t>Teclado</w:t>
            </w:r>
            <w:r>
              <w:rPr>
                <w:rFonts w:ascii="Arial" w:eastAsia="Arial" w:hAnsi="Arial" w:cs="Arial"/>
                <w:sz w:val="22"/>
                <w:szCs w:val="22"/>
              </w:rPr>
              <w:t xml:space="preserve"> para microcomputador, PADRÃO: ABNT2, CONEXÃO: USB, COR: Preto, IDIOMA: Português, COMPATÍVEL: Windows </w:t>
            </w:r>
            <w:r>
              <w:rPr>
                <w:rFonts w:ascii="Arial" w:eastAsia="Arial" w:hAnsi="Arial" w:cs="Arial"/>
                <w:sz w:val="22"/>
                <w:szCs w:val="22"/>
              </w:rPr>
              <w:lastRenderedPageBreak/>
              <w:t>98/2000/XP/ME/7 e Linux, CARACTERÍSTICAS ADICIONAIS: Com 104 teclas, teclas de atalho e cabo de 1,30m, UNID. DE MEDIDA: Unitário</w:t>
            </w:r>
          </w:p>
        </w:tc>
        <w:tc>
          <w:tcPr>
            <w:tcW w:w="1009" w:type="dxa"/>
          </w:tcPr>
          <w:p w:rsidR="00865C85" w:rsidRDefault="00865C85">
            <w:pPr>
              <w:spacing w:before="120" w:line="276" w:lineRule="auto"/>
              <w:jc w:val="both"/>
              <w:rPr>
                <w:rFonts w:ascii="Arial" w:eastAsia="Arial" w:hAnsi="Arial" w:cs="Arial"/>
                <w:b/>
                <w:sz w:val="22"/>
                <w:szCs w:val="22"/>
              </w:rPr>
            </w:pPr>
          </w:p>
        </w:tc>
        <w:tc>
          <w:tcPr>
            <w:tcW w:w="1065" w:type="dxa"/>
            <w:vAlign w:val="center"/>
          </w:tcPr>
          <w:p w:rsidR="00865C85" w:rsidRDefault="00043CC6">
            <w:pPr>
              <w:spacing w:before="120" w:line="276" w:lineRule="auto"/>
              <w:jc w:val="center"/>
              <w:rPr>
                <w:rFonts w:ascii="Arial" w:eastAsia="Arial" w:hAnsi="Arial" w:cs="Arial"/>
                <w:sz w:val="22"/>
                <w:szCs w:val="22"/>
              </w:rPr>
            </w:pPr>
            <w:r>
              <w:rPr>
                <w:rFonts w:ascii="Arial" w:eastAsia="Arial" w:hAnsi="Arial" w:cs="Arial"/>
                <w:sz w:val="22"/>
                <w:szCs w:val="22"/>
              </w:rPr>
              <w:t>255</w:t>
            </w:r>
          </w:p>
        </w:tc>
        <w:tc>
          <w:tcPr>
            <w:tcW w:w="1078" w:type="dxa"/>
            <w:vAlign w:val="center"/>
          </w:tcPr>
          <w:p w:rsidR="00865C85" w:rsidRDefault="00043CC6">
            <w:pPr>
              <w:spacing w:before="120" w:line="276" w:lineRule="auto"/>
              <w:jc w:val="center"/>
              <w:rPr>
                <w:rFonts w:ascii="Arial" w:eastAsia="Arial" w:hAnsi="Arial" w:cs="Arial"/>
                <w:sz w:val="22"/>
                <w:szCs w:val="22"/>
              </w:rPr>
            </w:pPr>
            <w:r>
              <w:rPr>
                <w:rFonts w:ascii="Arial" w:eastAsia="Arial" w:hAnsi="Arial" w:cs="Arial"/>
                <w:sz w:val="22"/>
                <w:szCs w:val="22"/>
              </w:rPr>
              <w:t>R$</w:t>
            </w:r>
          </w:p>
        </w:tc>
        <w:tc>
          <w:tcPr>
            <w:tcW w:w="1531" w:type="dxa"/>
            <w:vAlign w:val="center"/>
          </w:tcPr>
          <w:p w:rsidR="00865C85" w:rsidRDefault="00043CC6">
            <w:pPr>
              <w:spacing w:before="120" w:line="276" w:lineRule="auto"/>
              <w:jc w:val="center"/>
              <w:rPr>
                <w:rFonts w:ascii="Arial" w:eastAsia="Arial" w:hAnsi="Arial" w:cs="Arial"/>
                <w:sz w:val="22"/>
                <w:szCs w:val="22"/>
              </w:rPr>
            </w:pPr>
            <w:r>
              <w:rPr>
                <w:rFonts w:ascii="Arial" w:eastAsia="Arial" w:hAnsi="Arial" w:cs="Arial"/>
                <w:sz w:val="22"/>
                <w:szCs w:val="22"/>
              </w:rPr>
              <w:t>R$</w:t>
            </w:r>
          </w:p>
        </w:tc>
      </w:tr>
    </w:tbl>
    <w:p w:rsidR="00865C85" w:rsidRDefault="00865C85">
      <w:pPr>
        <w:spacing w:before="120" w:line="276" w:lineRule="auto"/>
        <w:jc w:val="both"/>
        <w:rPr>
          <w:rFonts w:ascii="Arial" w:eastAsia="Arial" w:hAnsi="Arial" w:cs="Arial"/>
          <w:b/>
          <w:sz w:val="24"/>
          <w:szCs w:val="24"/>
        </w:rPr>
      </w:pPr>
    </w:p>
    <w:p w:rsidR="00865C85" w:rsidRDefault="00865C85">
      <w:pPr>
        <w:spacing w:before="120" w:line="276" w:lineRule="auto"/>
        <w:jc w:val="both"/>
        <w:rPr>
          <w:rFonts w:ascii="Arial" w:eastAsia="Arial" w:hAnsi="Arial" w:cs="Arial"/>
          <w:b/>
          <w:sz w:val="24"/>
          <w:szCs w:val="24"/>
        </w:rPr>
      </w:pPr>
    </w:p>
    <w:tbl>
      <w:tblPr>
        <w:tblStyle w:val="a9"/>
        <w:tblW w:w="973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82"/>
        <w:gridCol w:w="652"/>
        <w:gridCol w:w="3716"/>
        <w:gridCol w:w="973"/>
        <w:gridCol w:w="1076"/>
        <w:gridCol w:w="1074"/>
        <w:gridCol w:w="1565"/>
      </w:tblGrid>
      <w:tr w:rsidR="00865C85">
        <w:trPr>
          <w:trHeight w:val="386"/>
        </w:trPr>
        <w:tc>
          <w:tcPr>
            <w:tcW w:w="681"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Lote</w:t>
            </w:r>
          </w:p>
        </w:tc>
        <w:tc>
          <w:tcPr>
            <w:tcW w:w="651"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Item</w:t>
            </w:r>
          </w:p>
        </w:tc>
        <w:tc>
          <w:tcPr>
            <w:tcW w:w="3715"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Especificação</w:t>
            </w:r>
          </w:p>
        </w:tc>
        <w:tc>
          <w:tcPr>
            <w:tcW w:w="973"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Marca/modelo</w:t>
            </w:r>
          </w:p>
        </w:tc>
        <w:tc>
          <w:tcPr>
            <w:tcW w:w="1076" w:type="dxa"/>
            <w:shd w:val="clear" w:color="auto" w:fill="BFBFBF"/>
            <w:vAlign w:val="center"/>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Quant.</w:t>
            </w:r>
          </w:p>
        </w:tc>
        <w:tc>
          <w:tcPr>
            <w:tcW w:w="1074" w:type="dxa"/>
            <w:shd w:val="clear" w:color="auto" w:fill="BFBFBF"/>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Valor Unitário</w:t>
            </w:r>
          </w:p>
        </w:tc>
        <w:tc>
          <w:tcPr>
            <w:tcW w:w="1565" w:type="dxa"/>
            <w:shd w:val="clear" w:color="auto" w:fill="BFBFBF"/>
          </w:tcPr>
          <w:p w:rsidR="00865C85" w:rsidRDefault="00043CC6">
            <w:pPr>
              <w:spacing w:before="120" w:line="276" w:lineRule="auto"/>
              <w:jc w:val="center"/>
              <w:rPr>
                <w:rFonts w:ascii="Arial" w:eastAsia="Arial" w:hAnsi="Arial" w:cs="Arial"/>
                <w:b/>
                <w:sz w:val="24"/>
                <w:szCs w:val="24"/>
              </w:rPr>
            </w:pPr>
            <w:r>
              <w:rPr>
                <w:rFonts w:ascii="Arial" w:eastAsia="Arial" w:hAnsi="Arial" w:cs="Arial"/>
                <w:b/>
                <w:sz w:val="24"/>
                <w:szCs w:val="24"/>
              </w:rPr>
              <w:t xml:space="preserve">Valor </w:t>
            </w:r>
            <w:r>
              <w:rPr>
                <w:rFonts w:ascii="Arial" w:eastAsia="Arial" w:hAnsi="Arial" w:cs="Arial"/>
                <w:b/>
                <w:sz w:val="24"/>
                <w:szCs w:val="24"/>
              </w:rPr>
              <w:br/>
              <w:t>Total do Lote</w:t>
            </w:r>
          </w:p>
        </w:tc>
      </w:tr>
      <w:tr w:rsidR="00865C85">
        <w:trPr>
          <w:trHeight w:val="896"/>
        </w:trPr>
        <w:tc>
          <w:tcPr>
            <w:tcW w:w="681" w:type="dxa"/>
            <w:vAlign w:val="center"/>
          </w:tcPr>
          <w:p w:rsidR="00865C85" w:rsidRDefault="00043CC6">
            <w:pPr>
              <w:spacing w:before="120" w:line="276" w:lineRule="auto"/>
              <w:jc w:val="center"/>
              <w:rPr>
                <w:rFonts w:ascii="Arial" w:eastAsia="Arial" w:hAnsi="Arial" w:cs="Arial"/>
                <w:b/>
                <w:sz w:val="22"/>
                <w:szCs w:val="22"/>
              </w:rPr>
            </w:pPr>
            <w:r>
              <w:rPr>
                <w:rFonts w:ascii="Arial" w:eastAsia="Arial" w:hAnsi="Arial" w:cs="Arial"/>
                <w:b/>
                <w:sz w:val="22"/>
                <w:szCs w:val="22"/>
              </w:rPr>
              <w:t>3</w:t>
            </w:r>
          </w:p>
        </w:tc>
        <w:tc>
          <w:tcPr>
            <w:tcW w:w="651" w:type="dxa"/>
            <w:tcBorders>
              <w:bottom w:val="single" w:sz="4" w:space="0" w:color="000000"/>
            </w:tcBorders>
            <w:vAlign w:val="center"/>
          </w:tcPr>
          <w:p w:rsidR="00865C85" w:rsidRDefault="00043CC6">
            <w:pPr>
              <w:spacing w:before="120" w:line="276" w:lineRule="auto"/>
              <w:jc w:val="center"/>
              <w:rPr>
                <w:rFonts w:ascii="Arial" w:eastAsia="Arial" w:hAnsi="Arial" w:cs="Arial"/>
                <w:b/>
                <w:sz w:val="22"/>
                <w:szCs w:val="22"/>
              </w:rPr>
            </w:pPr>
            <w:r>
              <w:rPr>
                <w:rFonts w:ascii="Arial" w:eastAsia="Arial" w:hAnsi="Arial" w:cs="Arial"/>
                <w:b/>
                <w:sz w:val="22"/>
                <w:szCs w:val="22"/>
              </w:rPr>
              <w:t>1</w:t>
            </w:r>
          </w:p>
        </w:tc>
        <w:tc>
          <w:tcPr>
            <w:tcW w:w="3715" w:type="dxa"/>
            <w:tcBorders>
              <w:bottom w:val="single" w:sz="4" w:space="0" w:color="000000"/>
            </w:tcBorders>
          </w:tcPr>
          <w:p w:rsidR="00865C85" w:rsidRDefault="00043CC6">
            <w:pPr>
              <w:spacing w:before="120" w:line="276" w:lineRule="auto"/>
              <w:jc w:val="both"/>
              <w:rPr>
                <w:rFonts w:ascii="Arial" w:eastAsia="Arial" w:hAnsi="Arial" w:cs="Arial"/>
                <w:sz w:val="22"/>
                <w:szCs w:val="22"/>
              </w:rPr>
            </w:pPr>
            <w:r>
              <w:rPr>
                <w:rFonts w:ascii="Arial" w:eastAsia="Arial" w:hAnsi="Arial" w:cs="Arial"/>
                <w:b/>
                <w:sz w:val="22"/>
                <w:szCs w:val="22"/>
              </w:rPr>
              <w:t>Mouse</w:t>
            </w:r>
            <w:r>
              <w:rPr>
                <w:rFonts w:ascii="Arial" w:eastAsia="Arial" w:hAnsi="Arial" w:cs="Arial"/>
                <w:sz w:val="22"/>
                <w:szCs w:val="22"/>
              </w:rPr>
              <w:t>, TIPO: Conexão USB, com 3 botões (2 para seleção e 1 para rolagem com função scroll), RESOLUÇÃO: de no mínimo 800 dpi, COR: Preto, SENSOR: Óptico, DIMENSÃO: 60x30x110mm, aproximadamente, CABO: de no mínimo 1,20m, COMPATÍVEL: Windows 98/ME/2000/XP/Vista/7, UNID. DE MEDIDA: Unitário.</w:t>
            </w:r>
          </w:p>
        </w:tc>
        <w:tc>
          <w:tcPr>
            <w:tcW w:w="973" w:type="dxa"/>
            <w:tcBorders>
              <w:bottom w:val="single" w:sz="4" w:space="0" w:color="000000"/>
            </w:tcBorders>
          </w:tcPr>
          <w:p w:rsidR="00865C85" w:rsidRDefault="00865C85">
            <w:pPr>
              <w:spacing w:before="120" w:line="276" w:lineRule="auto"/>
              <w:jc w:val="both"/>
              <w:rPr>
                <w:rFonts w:ascii="Arial" w:eastAsia="Arial" w:hAnsi="Arial" w:cs="Arial"/>
                <w:b/>
                <w:sz w:val="22"/>
                <w:szCs w:val="22"/>
              </w:rPr>
            </w:pPr>
          </w:p>
        </w:tc>
        <w:tc>
          <w:tcPr>
            <w:tcW w:w="1076" w:type="dxa"/>
            <w:tcBorders>
              <w:bottom w:val="single" w:sz="4" w:space="0" w:color="000000"/>
            </w:tcBorders>
            <w:vAlign w:val="center"/>
          </w:tcPr>
          <w:p w:rsidR="00865C85" w:rsidRDefault="00043CC6">
            <w:pPr>
              <w:spacing w:before="120" w:line="276" w:lineRule="auto"/>
              <w:jc w:val="center"/>
              <w:rPr>
                <w:rFonts w:ascii="Arial" w:eastAsia="Arial" w:hAnsi="Arial" w:cs="Arial"/>
                <w:sz w:val="22"/>
                <w:szCs w:val="22"/>
              </w:rPr>
            </w:pPr>
            <w:r>
              <w:rPr>
                <w:rFonts w:ascii="Arial" w:eastAsia="Arial" w:hAnsi="Arial" w:cs="Arial"/>
                <w:sz w:val="22"/>
                <w:szCs w:val="22"/>
              </w:rPr>
              <w:t>255</w:t>
            </w:r>
          </w:p>
        </w:tc>
        <w:tc>
          <w:tcPr>
            <w:tcW w:w="1074" w:type="dxa"/>
            <w:tcBorders>
              <w:bottom w:val="single" w:sz="4" w:space="0" w:color="000000"/>
            </w:tcBorders>
            <w:vAlign w:val="center"/>
          </w:tcPr>
          <w:p w:rsidR="00865C85" w:rsidRDefault="00043CC6">
            <w:pPr>
              <w:spacing w:before="120" w:line="276" w:lineRule="auto"/>
              <w:jc w:val="center"/>
              <w:rPr>
                <w:rFonts w:ascii="Arial" w:eastAsia="Arial" w:hAnsi="Arial" w:cs="Arial"/>
                <w:sz w:val="22"/>
                <w:szCs w:val="22"/>
              </w:rPr>
            </w:pPr>
            <w:r>
              <w:rPr>
                <w:rFonts w:ascii="Arial" w:eastAsia="Arial" w:hAnsi="Arial" w:cs="Arial"/>
                <w:sz w:val="22"/>
                <w:szCs w:val="22"/>
              </w:rPr>
              <w:t>R$</w:t>
            </w:r>
          </w:p>
        </w:tc>
        <w:tc>
          <w:tcPr>
            <w:tcW w:w="1565" w:type="dxa"/>
            <w:tcBorders>
              <w:bottom w:val="single" w:sz="4" w:space="0" w:color="000000"/>
            </w:tcBorders>
            <w:vAlign w:val="center"/>
          </w:tcPr>
          <w:p w:rsidR="00865C85" w:rsidRDefault="00043CC6">
            <w:pPr>
              <w:spacing w:before="120" w:line="276" w:lineRule="auto"/>
              <w:jc w:val="center"/>
              <w:rPr>
                <w:rFonts w:ascii="Arial" w:eastAsia="Arial" w:hAnsi="Arial" w:cs="Arial"/>
                <w:sz w:val="22"/>
                <w:szCs w:val="22"/>
              </w:rPr>
            </w:pPr>
            <w:r>
              <w:rPr>
                <w:rFonts w:ascii="Arial" w:eastAsia="Arial" w:hAnsi="Arial" w:cs="Arial"/>
                <w:sz w:val="22"/>
                <w:szCs w:val="22"/>
              </w:rPr>
              <w:t>R$</w:t>
            </w:r>
          </w:p>
        </w:tc>
      </w:tr>
    </w:tbl>
    <w:p w:rsidR="00865C85" w:rsidRDefault="00865C85">
      <w:pPr>
        <w:spacing w:line="276" w:lineRule="auto"/>
        <w:jc w:val="both"/>
        <w:rPr>
          <w:rFonts w:ascii="Verdana" w:eastAsia="Verdana" w:hAnsi="Verdana" w:cs="Verdana"/>
        </w:rPr>
      </w:pPr>
    </w:p>
    <w:p w:rsidR="00865C85" w:rsidRDefault="00865C85">
      <w:pPr>
        <w:spacing w:line="276" w:lineRule="auto"/>
        <w:jc w:val="both"/>
        <w:rPr>
          <w:rFonts w:ascii="Verdana" w:eastAsia="Verdana" w:hAnsi="Verdana" w:cs="Verdana"/>
        </w:rPr>
      </w:pPr>
    </w:p>
    <w:p w:rsidR="00865C85" w:rsidRDefault="00043CC6">
      <w:pPr>
        <w:spacing w:line="276" w:lineRule="auto"/>
        <w:jc w:val="both"/>
      </w:pPr>
      <w:r>
        <w:rPr>
          <w:rFonts w:ascii="Verdana" w:eastAsia="Verdana" w:hAnsi="Verdana" w:cs="Verdana"/>
        </w:rPr>
        <w:t>A validade da proposta é de 60 (sessenta) dias.</w:t>
      </w:r>
    </w:p>
    <w:p w:rsidR="00865C85" w:rsidRDefault="00865C85">
      <w:pPr>
        <w:spacing w:line="276" w:lineRule="auto"/>
        <w:jc w:val="both"/>
        <w:rPr>
          <w:rFonts w:ascii="Verdana" w:eastAsia="Verdana" w:hAnsi="Verdana" w:cs="Verdana"/>
        </w:rPr>
      </w:pPr>
    </w:p>
    <w:p w:rsidR="00865C85" w:rsidRDefault="00865C85">
      <w:pPr>
        <w:spacing w:line="276" w:lineRule="auto"/>
        <w:jc w:val="both"/>
        <w:rPr>
          <w:rFonts w:ascii="Verdana" w:eastAsia="Verdana" w:hAnsi="Verdana" w:cs="Verdana"/>
        </w:rPr>
      </w:pPr>
    </w:p>
    <w:p w:rsidR="00865C85" w:rsidRDefault="00043CC6">
      <w:pPr>
        <w:spacing w:line="276" w:lineRule="auto"/>
        <w:jc w:val="both"/>
      </w:pPr>
      <w:r>
        <w:rPr>
          <w:rFonts w:ascii="Verdana" w:eastAsia="Verdana" w:hAnsi="Verdana" w:cs="Verdana"/>
        </w:rPr>
        <w:t>(Local), ____ de ____________ de 2022.</w:t>
      </w:r>
    </w:p>
    <w:p w:rsidR="00865C85" w:rsidRDefault="00865C85">
      <w:pPr>
        <w:spacing w:line="276" w:lineRule="auto"/>
        <w:jc w:val="both"/>
        <w:rPr>
          <w:rFonts w:ascii="Verdana" w:eastAsia="Verdana" w:hAnsi="Verdana" w:cs="Verdana"/>
        </w:rPr>
      </w:pPr>
    </w:p>
    <w:p w:rsidR="00865C85" w:rsidRDefault="00865C85">
      <w:pPr>
        <w:spacing w:line="276" w:lineRule="auto"/>
        <w:jc w:val="both"/>
        <w:rPr>
          <w:rFonts w:ascii="Verdana" w:eastAsia="Verdana" w:hAnsi="Verdana" w:cs="Verdana"/>
        </w:rPr>
      </w:pPr>
    </w:p>
    <w:p w:rsidR="00865C85" w:rsidRDefault="00865C85">
      <w:pPr>
        <w:spacing w:line="276" w:lineRule="auto"/>
        <w:jc w:val="both"/>
        <w:rPr>
          <w:rFonts w:ascii="Verdana" w:eastAsia="Verdana" w:hAnsi="Verdana" w:cs="Verdana"/>
        </w:rPr>
      </w:pPr>
    </w:p>
    <w:p w:rsidR="00865C85" w:rsidRDefault="00043CC6">
      <w:pPr>
        <w:spacing w:line="276" w:lineRule="auto"/>
        <w:jc w:val="center"/>
      </w:pPr>
      <w:r>
        <w:rPr>
          <w:rFonts w:ascii="Verdana" w:eastAsia="Verdana" w:hAnsi="Verdana" w:cs="Verdana"/>
        </w:rPr>
        <w:t>_________________________________________________</w:t>
      </w:r>
    </w:p>
    <w:p w:rsidR="00865C85" w:rsidRDefault="00043CC6">
      <w:pPr>
        <w:spacing w:line="276" w:lineRule="auto"/>
        <w:jc w:val="center"/>
      </w:pPr>
      <w:r>
        <w:rPr>
          <w:rFonts w:ascii="Verdana" w:eastAsia="Verdana" w:hAnsi="Verdana" w:cs="Verdana"/>
        </w:rPr>
        <w:t>(nome e assinatura do representante)</w:t>
      </w: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75A52" w:rsidRDefault="00875A52">
      <w:pPr>
        <w:spacing w:after="200" w:line="276" w:lineRule="auto"/>
        <w:rPr>
          <w:rFonts w:ascii="Verdana" w:eastAsia="Verdana" w:hAnsi="Verdana" w:cs="Verdana"/>
        </w:rPr>
      </w:pPr>
    </w:p>
    <w:p w:rsidR="00865C85" w:rsidRDefault="00043CC6">
      <w:pPr>
        <w:spacing w:line="276" w:lineRule="auto"/>
        <w:jc w:val="center"/>
      </w:pPr>
      <w:r>
        <w:rPr>
          <w:rFonts w:ascii="Verdana" w:eastAsia="Verdana" w:hAnsi="Verdana" w:cs="Verdana"/>
          <w:b/>
        </w:rPr>
        <w:t>ANEXO VI – DECLARAÇÃO DE CUMPRIMENTO DO ARTIGO 7º, XXXIII, DA CONSTITUIÇÃO FEDERAL</w:t>
      </w:r>
    </w:p>
    <w:p w:rsidR="00865C85" w:rsidRDefault="00865C85">
      <w:pPr>
        <w:spacing w:line="276" w:lineRule="auto"/>
        <w:jc w:val="center"/>
        <w:rPr>
          <w:rFonts w:ascii="Verdana" w:eastAsia="Verdana" w:hAnsi="Verdana" w:cs="Verdana"/>
        </w:rPr>
      </w:pPr>
    </w:p>
    <w:p w:rsidR="00865C85" w:rsidRDefault="00865C85">
      <w:pPr>
        <w:spacing w:line="276" w:lineRule="auto"/>
        <w:jc w:val="center"/>
        <w:rPr>
          <w:rFonts w:ascii="Verdana" w:eastAsia="Verdana" w:hAnsi="Verdana" w:cs="Verdana"/>
        </w:rPr>
      </w:pPr>
    </w:p>
    <w:p w:rsidR="00865C85" w:rsidRDefault="00043CC6">
      <w:pPr>
        <w:spacing w:line="276" w:lineRule="auto"/>
        <w:jc w:val="both"/>
      </w:pPr>
      <w:r>
        <w:rPr>
          <w:rFonts w:ascii="Verdana" w:eastAsia="Verdana" w:hAnsi="Verdana" w:cs="Verdana"/>
        </w:rPr>
        <w:t>À</w:t>
      </w:r>
    </w:p>
    <w:p w:rsidR="00865C85" w:rsidRDefault="00043CC6">
      <w:pPr>
        <w:spacing w:line="276" w:lineRule="auto"/>
        <w:jc w:val="both"/>
      </w:pPr>
      <w:r>
        <w:rPr>
          <w:rFonts w:ascii="Verdana" w:eastAsia="Verdana" w:hAnsi="Verdana" w:cs="Verdana"/>
        </w:rPr>
        <w:t>DEFENSORIA PÚBLICA DO ESTADO DO PARANÁ</w:t>
      </w:r>
    </w:p>
    <w:p w:rsidR="00865C85" w:rsidRDefault="00043CC6">
      <w:pPr>
        <w:spacing w:line="276" w:lineRule="auto"/>
        <w:jc w:val="both"/>
      </w:pPr>
      <w:r>
        <w:rPr>
          <w:rFonts w:ascii="Verdana" w:eastAsia="Verdana" w:hAnsi="Verdana" w:cs="Verdana"/>
        </w:rPr>
        <w:t xml:space="preserve">EDITAL DE PREGÃO ELETRÔNICO Nº </w:t>
      </w:r>
      <w:r w:rsidR="00886A3B">
        <w:rPr>
          <w:rFonts w:ascii="Verdana" w:eastAsia="Verdana" w:hAnsi="Verdana" w:cs="Verdana"/>
        </w:rPr>
        <w:t>007</w:t>
      </w:r>
      <w:r>
        <w:rPr>
          <w:rFonts w:ascii="Verdana" w:eastAsia="Verdana" w:hAnsi="Verdana" w:cs="Verdana"/>
        </w:rPr>
        <w:t>/2022</w:t>
      </w:r>
    </w:p>
    <w:p w:rsidR="00865C85" w:rsidRDefault="00865C85">
      <w:pPr>
        <w:spacing w:line="276" w:lineRule="auto"/>
        <w:jc w:val="both"/>
        <w:rPr>
          <w:rFonts w:ascii="Verdana" w:eastAsia="Verdana" w:hAnsi="Verdana" w:cs="Verdana"/>
        </w:rPr>
      </w:pPr>
    </w:p>
    <w:p w:rsidR="00865C85" w:rsidRDefault="00865C85">
      <w:pPr>
        <w:spacing w:line="276" w:lineRule="auto"/>
        <w:jc w:val="both"/>
        <w:rPr>
          <w:rFonts w:ascii="Verdana" w:eastAsia="Verdana" w:hAnsi="Verdana" w:cs="Verdana"/>
        </w:rPr>
      </w:pPr>
    </w:p>
    <w:p w:rsidR="00865C85" w:rsidRDefault="00865C85">
      <w:pPr>
        <w:spacing w:line="276" w:lineRule="auto"/>
        <w:jc w:val="both"/>
        <w:rPr>
          <w:rFonts w:ascii="Verdana" w:eastAsia="Verdana" w:hAnsi="Verdana" w:cs="Verdana"/>
        </w:rPr>
      </w:pPr>
    </w:p>
    <w:p w:rsidR="00865C85" w:rsidRDefault="00043CC6">
      <w:pPr>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rsidR="00865C85" w:rsidRDefault="00865C85">
      <w:pPr>
        <w:spacing w:line="276" w:lineRule="auto"/>
        <w:jc w:val="both"/>
        <w:rPr>
          <w:rFonts w:ascii="Verdana" w:eastAsia="Verdana" w:hAnsi="Verdana" w:cs="Verdana"/>
        </w:rPr>
      </w:pPr>
    </w:p>
    <w:p w:rsidR="00865C85" w:rsidRDefault="00043CC6">
      <w:pPr>
        <w:spacing w:line="276" w:lineRule="auto"/>
        <w:jc w:val="both"/>
      </w:pPr>
      <w:r>
        <w:rPr>
          <w:rFonts w:ascii="Verdana" w:eastAsia="Verdana" w:hAnsi="Verdana" w:cs="Verdana"/>
        </w:rPr>
        <w:t>Por ser expressão de verdade, firmamos a presente declaração.</w:t>
      </w:r>
    </w:p>
    <w:p w:rsidR="00865C85" w:rsidRDefault="00865C85">
      <w:pPr>
        <w:spacing w:line="276" w:lineRule="auto"/>
        <w:jc w:val="center"/>
        <w:rPr>
          <w:rFonts w:ascii="Verdana" w:eastAsia="Verdana" w:hAnsi="Verdana" w:cs="Verdana"/>
        </w:rPr>
      </w:pPr>
    </w:p>
    <w:p w:rsidR="00865C85" w:rsidRDefault="00865C85">
      <w:pPr>
        <w:spacing w:line="276" w:lineRule="auto"/>
        <w:jc w:val="center"/>
        <w:rPr>
          <w:rFonts w:ascii="Verdana" w:eastAsia="Verdana" w:hAnsi="Verdana" w:cs="Verdana"/>
        </w:rPr>
      </w:pPr>
    </w:p>
    <w:p w:rsidR="00865C85" w:rsidRDefault="00043CC6">
      <w:pPr>
        <w:spacing w:line="276" w:lineRule="auto"/>
        <w:jc w:val="center"/>
      </w:pPr>
      <w:r>
        <w:rPr>
          <w:rFonts w:ascii="Verdana" w:eastAsia="Verdana" w:hAnsi="Verdana" w:cs="Verdana"/>
        </w:rPr>
        <w:t>(Local), ____ de __________ de 2022.</w:t>
      </w:r>
    </w:p>
    <w:p w:rsidR="00865C85" w:rsidRDefault="00865C85">
      <w:pPr>
        <w:spacing w:line="276" w:lineRule="auto"/>
        <w:jc w:val="center"/>
        <w:rPr>
          <w:rFonts w:ascii="Verdana" w:eastAsia="Verdana" w:hAnsi="Verdana" w:cs="Verdana"/>
        </w:rPr>
      </w:pPr>
    </w:p>
    <w:p w:rsidR="00865C85" w:rsidRDefault="00865C85">
      <w:pPr>
        <w:spacing w:line="276" w:lineRule="auto"/>
        <w:jc w:val="center"/>
        <w:rPr>
          <w:rFonts w:ascii="Verdana" w:eastAsia="Verdana" w:hAnsi="Verdana" w:cs="Verdana"/>
        </w:rPr>
      </w:pPr>
    </w:p>
    <w:p w:rsidR="00865C85" w:rsidRDefault="00043CC6">
      <w:pPr>
        <w:spacing w:line="276" w:lineRule="auto"/>
        <w:jc w:val="center"/>
      </w:pPr>
      <w:r>
        <w:rPr>
          <w:rFonts w:ascii="Verdana" w:eastAsia="Verdana" w:hAnsi="Verdana" w:cs="Verdana"/>
        </w:rPr>
        <w:t>_______________________________</w:t>
      </w:r>
    </w:p>
    <w:p w:rsidR="00865C85" w:rsidRDefault="00043CC6">
      <w:pPr>
        <w:spacing w:line="276" w:lineRule="auto"/>
        <w:jc w:val="center"/>
      </w:pPr>
      <w:r>
        <w:rPr>
          <w:rFonts w:ascii="Verdana" w:eastAsia="Verdana" w:hAnsi="Verdana" w:cs="Verdana"/>
        </w:rPr>
        <w:t>Nome da Empresa</w:t>
      </w:r>
    </w:p>
    <w:p w:rsidR="00865C85" w:rsidRDefault="00043CC6">
      <w:pPr>
        <w:spacing w:line="276" w:lineRule="auto"/>
        <w:jc w:val="center"/>
      </w:pPr>
      <w:r>
        <w:rPr>
          <w:rFonts w:ascii="Verdana" w:eastAsia="Verdana" w:hAnsi="Verdana" w:cs="Verdana"/>
        </w:rPr>
        <w:t>CNPJ:</w:t>
      </w:r>
    </w:p>
    <w:p w:rsidR="00865C85" w:rsidRDefault="00865C85">
      <w:pPr>
        <w:spacing w:line="276" w:lineRule="auto"/>
        <w:jc w:val="center"/>
        <w:rPr>
          <w:rFonts w:ascii="Verdana" w:eastAsia="Verdana" w:hAnsi="Verdana" w:cs="Verdana"/>
        </w:rPr>
      </w:pPr>
    </w:p>
    <w:p w:rsidR="00865C85" w:rsidRDefault="00865C85">
      <w:pPr>
        <w:spacing w:line="276" w:lineRule="auto"/>
        <w:jc w:val="center"/>
        <w:rPr>
          <w:rFonts w:ascii="Verdana" w:eastAsia="Verdana" w:hAnsi="Verdana" w:cs="Verdana"/>
        </w:rPr>
      </w:pPr>
    </w:p>
    <w:p w:rsidR="00865C85" w:rsidRDefault="00043CC6">
      <w:pPr>
        <w:spacing w:line="276" w:lineRule="auto"/>
        <w:jc w:val="center"/>
      </w:pPr>
      <w:r>
        <w:rPr>
          <w:rFonts w:ascii="Verdana" w:eastAsia="Verdana" w:hAnsi="Verdana" w:cs="Verdana"/>
        </w:rPr>
        <w:t>_________________________________________________________</w:t>
      </w:r>
    </w:p>
    <w:p w:rsidR="00865C85" w:rsidRDefault="00043CC6">
      <w:pPr>
        <w:spacing w:line="276" w:lineRule="auto"/>
        <w:jc w:val="center"/>
      </w:pPr>
      <w:r>
        <w:rPr>
          <w:rFonts w:ascii="Verdana" w:eastAsia="Verdana" w:hAnsi="Verdana" w:cs="Verdana"/>
        </w:rPr>
        <w:t>Representante Legal ou Procurador do Licitante</w:t>
      </w:r>
    </w:p>
    <w:p w:rsidR="00865C85" w:rsidRDefault="00043CC6">
      <w:pPr>
        <w:spacing w:line="276" w:lineRule="auto"/>
        <w:jc w:val="center"/>
      </w:pPr>
      <w:r>
        <w:rPr>
          <w:rFonts w:ascii="Verdana" w:eastAsia="Verdana" w:hAnsi="Verdana" w:cs="Verdana"/>
        </w:rPr>
        <w:t>(nome e assinatura)</w:t>
      </w: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line="276" w:lineRule="auto"/>
        <w:jc w:val="center"/>
        <w:rPr>
          <w:rFonts w:ascii="Verdana" w:eastAsia="Verdana" w:hAnsi="Verdana" w:cs="Verdana"/>
        </w:rPr>
      </w:pPr>
    </w:p>
    <w:p w:rsidR="00865C85" w:rsidRDefault="00043CC6">
      <w:pPr>
        <w:spacing w:line="276" w:lineRule="auto"/>
        <w:jc w:val="center"/>
      </w:pPr>
      <w:r>
        <w:rPr>
          <w:rFonts w:ascii="Verdana" w:eastAsia="Verdana" w:hAnsi="Verdana" w:cs="Verdana"/>
          <w:b/>
        </w:rPr>
        <w:t>ANEXO VII – DECLARAÇÃO DE IDONEIDADE</w:t>
      </w:r>
    </w:p>
    <w:p w:rsidR="00865C85" w:rsidRDefault="00865C85">
      <w:pPr>
        <w:spacing w:line="276" w:lineRule="auto"/>
        <w:jc w:val="center"/>
        <w:rPr>
          <w:rFonts w:ascii="Verdana" w:eastAsia="Verdana" w:hAnsi="Verdana" w:cs="Verdana"/>
        </w:rPr>
      </w:pPr>
    </w:p>
    <w:p w:rsidR="00865C85" w:rsidRDefault="00865C85">
      <w:pPr>
        <w:spacing w:line="276" w:lineRule="auto"/>
        <w:jc w:val="center"/>
        <w:rPr>
          <w:rFonts w:ascii="Verdana" w:eastAsia="Verdana" w:hAnsi="Verdana" w:cs="Verdana"/>
        </w:rPr>
      </w:pPr>
    </w:p>
    <w:p w:rsidR="00865C85" w:rsidRDefault="00043CC6">
      <w:pPr>
        <w:spacing w:line="276" w:lineRule="auto"/>
        <w:jc w:val="both"/>
      </w:pPr>
      <w:r>
        <w:rPr>
          <w:rFonts w:ascii="Verdana" w:eastAsia="Verdana" w:hAnsi="Verdana" w:cs="Verdana"/>
        </w:rPr>
        <w:t>À</w:t>
      </w:r>
    </w:p>
    <w:p w:rsidR="00865C85" w:rsidRDefault="00043CC6">
      <w:pPr>
        <w:spacing w:line="276" w:lineRule="auto"/>
        <w:jc w:val="both"/>
      </w:pPr>
      <w:r>
        <w:rPr>
          <w:rFonts w:ascii="Verdana" w:eastAsia="Verdana" w:hAnsi="Verdana" w:cs="Verdana"/>
        </w:rPr>
        <w:t>DEFENSORIA PÚBLICA DO ESTADO DO PARANÁ</w:t>
      </w:r>
    </w:p>
    <w:p w:rsidR="00865C85" w:rsidRDefault="00043CC6">
      <w:pPr>
        <w:spacing w:line="276" w:lineRule="auto"/>
        <w:jc w:val="both"/>
      </w:pPr>
      <w:r>
        <w:rPr>
          <w:rFonts w:ascii="Verdana" w:eastAsia="Verdana" w:hAnsi="Verdana" w:cs="Verdana"/>
        </w:rPr>
        <w:t xml:space="preserve">EDITAL DE PREGÃO ELETRÔNICO Nº </w:t>
      </w:r>
      <w:r w:rsidR="00886A3B">
        <w:rPr>
          <w:rFonts w:ascii="Verdana" w:eastAsia="Verdana" w:hAnsi="Verdana" w:cs="Verdana"/>
        </w:rPr>
        <w:t>007</w:t>
      </w:r>
      <w:r>
        <w:rPr>
          <w:rFonts w:ascii="Verdana" w:eastAsia="Verdana" w:hAnsi="Verdana" w:cs="Verdana"/>
        </w:rPr>
        <w:t>/2022</w:t>
      </w:r>
    </w:p>
    <w:p w:rsidR="00865C85" w:rsidRDefault="00865C85">
      <w:pPr>
        <w:spacing w:line="276" w:lineRule="auto"/>
        <w:jc w:val="center"/>
        <w:rPr>
          <w:rFonts w:ascii="Verdana" w:eastAsia="Verdana" w:hAnsi="Verdana" w:cs="Verdana"/>
        </w:rPr>
      </w:pPr>
    </w:p>
    <w:p w:rsidR="00865C85" w:rsidRDefault="00865C85">
      <w:pPr>
        <w:spacing w:line="276" w:lineRule="auto"/>
        <w:jc w:val="center"/>
        <w:rPr>
          <w:rFonts w:ascii="Verdana" w:eastAsia="Verdana" w:hAnsi="Verdana" w:cs="Verdana"/>
        </w:rPr>
      </w:pPr>
    </w:p>
    <w:p w:rsidR="00865C85" w:rsidRDefault="00865C85">
      <w:pPr>
        <w:spacing w:line="276" w:lineRule="auto"/>
        <w:jc w:val="center"/>
        <w:rPr>
          <w:rFonts w:ascii="Verdana" w:eastAsia="Verdana" w:hAnsi="Verdana" w:cs="Verdana"/>
        </w:rPr>
      </w:pPr>
    </w:p>
    <w:p w:rsidR="00865C85" w:rsidRDefault="00043CC6">
      <w:pPr>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rsidR="00865C85" w:rsidRDefault="00865C85">
      <w:pPr>
        <w:spacing w:line="276" w:lineRule="auto"/>
        <w:jc w:val="center"/>
        <w:rPr>
          <w:rFonts w:ascii="Verdana" w:eastAsia="Verdana" w:hAnsi="Verdana" w:cs="Verdana"/>
        </w:rPr>
      </w:pPr>
    </w:p>
    <w:p w:rsidR="00865C85" w:rsidRDefault="00865C85">
      <w:pPr>
        <w:spacing w:line="276" w:lineRule="auto"/>
        <w:jc w:val="center"/>
        <w:rPr>
          <w:rFonts w:ascii="Verdana" w:eastAsia="Verdana" w:hAnsi="Verdana" w:cs="Verdana"/>
        </w:rPr>
      </w:pPr>
    </w:p>
    <w:p w:rsidR="00865C85" w:rsidRDefault="00043CC6">
      <w:pPr>
        <w:spacing w:line="276" w:lineRule="auto"/>
        <w:jc w:val="both"/>
      </w:pPr>
      <w:r>
        <w:rPr>
          <w:rFonts w:ascii="Verdana" w:eastAsia="Verdana" w:hAnsi="Verdana" w:cs="Verdana"/>
        </w:rPr>
        <w:t>Por ser expressão da verdade, firmamos a presente.</w:t>
      </w:r>
    </w:p>
    <w:p w:rsidR="00865C85" w:rsidRDefault="00865C85">
      <w:pPr>
        <w:spacing w:line="276" w:lineRule="auto"/>
        <w:jc w:val="center"/>
        <w:rPr>
          <w:rFonts w:ascii="Verdana" w:eastAsia="Verdana" w:hAnsi="Verdana" w:cs="Verdana"/>
        </w:rPr>
      </w:pPr>
    </w:p>
    <w:p w:rsidR="00865C85" w:rsidRDefault="00043CC6">
      <w:pPr>
        <w:spacing w:line="276" w:lineRule="auto"/>
        <w:jc w:val="center"/>
      </w:pPr>
      <w:r>
        <w:rPr>
          <w:rFonts w:ascii="Verdana" w:eastAsia="Verdana" w:hAnsi="Verdana" w:cs="Verdana"/>
        </w:rPr>
        <w:t>(Local), _____ de _____________ de 2022.</w:t>
      </w:r>
    </w:p>
    <w:p w:rsidR="00865C85" w:rsidRDefault="00865C85">
      <w:pPr>
        <w:spacing w:line="276" w:lineRule="auto"/>
        <w:jc w:val="center"/>
        <w:rPr>
          <w:rFonts w:ascii="Verdana" w:eastAsia="Verdana" w:hAnsi="Verdana" w:cs="Verdana"/>
        </w:rPr>
      </w:pPr>
    </w:p>
    <w:p w:rsidR="00865C85" w:rsidRDefault="00865C85">
      <w:pPr>
        <w:spacing w:line="276" w:lineRule="auto"/>
        <w:jc w:val="center"/>
        <w:rPr>
          <w:rFonts w:ascii="Verdana" w:eastAsia="Verdana" w:hAnsi="Verdana" w:cs="Verdana"/>
        </w:rPr>
      </w:pPr>
    </w:p>
    <w:p w:rsidR="00865C85" w:rsidRDefault="00043CC6">
      <w:pPr>
        <w:spacing w:line="276" w:lineRule="auto"/>
        <w:jc w:val="center"/>
      </w:pPr>
      <w:r>
        <w:rPr>
          <w:rFonts w:ascii="Verdana" w:eastAsia="Verdana" w:hAnsi="Verdana" w:cs="Verdana"/>
        </w:rPr>
        <w:t>_______________________________</w:t>
      </w:r>
    </w:p>
    <w:p w:rsidR="00865C85" w:rsidRDefault="00043CC6">
      <w:pPr>
        <w:spacing w:line="276" w:lineRule="auto"/>
        <w:jc w:val="center"/>
      </w:pPr>
      <w:r>
        <w:rPr>
          <w:rFonts w:ascii="Verdana" w:eastAsia="Verdana" w:hAnsi="Verdana" w:cs="Verdana"/>
        </w:rPr>
        <w:t>Nome da Empresa</w:t>
      </w:r>
    </w:p>
    <w:p w:rsidR="00865C85" w:rsidRDefault="00043CC6">
      <w:pPr>
        <w:spacing w:line="276" w:lineRule="auto"/>
        <w:jc w:val="center"/>
      </w:pPr>
      <w:r>
        <w:rPr>
          <w:rFonts w:ascii="Verdana" w:eastAsia="Verdana" w:hAnsi="Verdana" w:cs="Verdana"/>
        </w:rPr>
        <w:t>CNPJ:</w:t>
      </w:r>
    </w:p>
    <w:p w:rsidR="00865C85" w:rsidRDefault="00865C85">
      <w:pPr>
        <w:spacing w:line="276" w:lineRule="auto"/>
        <w:jc w:val="center"/>
        <w:rPr>
          <w:rFonts w:ascii="Verdana" w:eastAsia="Verdana" w:hAnsi="Verdana" w:cs="Verdana"/>
        </w:rPr>
      </w:pPr>
    </w:p>
    <w:p w:rsidR="00865C85" w:rsidRDefault="00043CC6">
      <w:pPr>
        <w:spacing w:line="276" w:lineRule="auto"/>
        <w:jc w:val="center"/>
      </w:pPr>
      <w:r>
        <w:rPr>
          <w:rFonts w:ascii="Verdana" w:eastAsia="Verdana" w:hAnsi="Verdana" w:cs="Verdana"/>
        </w:rPr>
        <w:t>_____________________________________________________________</w:t>
      </w:r>
    </w:p>
    <w:p w:rsidR="00865C85" w:rsidRDefault="00043CC6">
      <w:pPr>
        <w:spacing w:line="276" w:lineRule="auto"/>
        <w:jc w:val="center"/>
      </w:pPr>
      <w:r>
        <w:rPr>
          <w:rFonts w:ascii="Verdana" w:eastAsia="Verdana" w:hAnsi="Verdana" w:cs="Verdana"/>
        </w:rPr>
        <w:t>Representante Legal ou Procurador do Licitante</w:t>
      </w:r>
    </w:p>
    <w:p w:rsidR="00865C85" w:rsidRDefault="00043CC6">
      <w:pPr>
        <w:spacing w:line="276" w:lineRule="auto"/>
        <w:jc w:val="center"/>
      </w:pPr>
      <w:r>
        <w:rPr>
          <w:rFonts w:ascii="Verdana" w:eastAsia="Verdana" w:hAnsi="Verdana" w:cs="Verdana"/>
        </w:rPr>
        <w:t>(nome e assinatura)</w:t>
      </w: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865C85">
      <w:pPr>
        <w:spacing w:after="200" w:line="276" w:lineRule="auto"/>
        <w:rPr>
          <w:rFonts w:ascii="Verdana" w:eastAsia="Verdana" w:hAnsi="Verdana" w:cs="Verdana"/>
        </w:rPr>
      </w:pPr>
    </w:p>
    <w:p w:rsidR="00865C85" w:rsidRDefault="00043CC6">
      <w:pPr>
        <w:spacing w:line="276" w:lineRule="auto"/>
        <w:jc w:val="center"/>
      </w:pPr>
      <w:bookmarkStart w:id="0" w:name="_heading=h.2et92p0" w:colFirst="0" w:colLast="0"/>
      <w:bookmarkEnd w:id="0"/>
      <w:r>
        <w:rPr>
          <w:rFonts w:ascii="Verdana" w:eastAsia="Verdana" w:hAnsi="Verdana" w:cs="Verdana"/>
          <w:b/>
        </w:rPr>
        <w:t>ANEXO VIII – DECLARAÇÃO DE ATENDIMENTO À POLÍTICA PÚBLICA AMBIENTAL DE LICITAÇÃO SUSTENTÁVEL</w:t>
      </w:r>
    </w:p>
    <w:p w:rsidR="00865C85" w:rsidRDefault="00865C85">
      <w:pPr>
        <w:spacing w:line="276" w:lineRule="auto"/>
        <w:jc w:val="center"/>
        <w:rPr>
          <w:rFonts w:ascii="Verdana" w:eastAsia="Verdana" w:hAnsi="Verdana" w:cs="Verdana"/>
          <w:b/>
        </w:rPr>
      </w:pPr>
    </w:p>
    <w:p w:rsidR="00865C85" w:rsidRDefault="00865C85">
      <w:pPr>
        <w:spacing w:line="276" w:lineRule="auto"/>
        <w:jc w:val="center"/>
        <w:rPr>
          <w:rFonts w:ascii="Verdana" w:eastAsia="Verdana" w:hAnsi="Verdana" w:cs="Verdana"/>
        </w:rPr>
      </w:pPr>
    </w:p>
    <w:p w:rsidR="00865C85" w:rsidRDefault="00043CC6">
      <w:pPr>
        <w:spacing w:line="276" w:lineRule="auto"/>
        <w:jc w:val="both"/>
      </w:pPr>
      <w:r>
        <w:rPr>
          <w:rFonts w:ascii="Verdana" w:eastAsia="Verdana" w:hAnsi="Verdana" w:cs="Verdana"/>
        </w:rPr>
        <w:t>À</w:t>
      </w:r>
    </w:p>
    <w:p w:rsidR="00865C85" w:rsidRDefault="00043CC6">
      <w:pPr>
        <w:spacing w:line="276" w:lineRule="auto"/>
        <w:jc w:val="both"/>
      </w:pPr>
      <w:r>
        <w:rPr>
          <w:rFonts w:ascii="Verdana" w:eastAsia="Verdana" w:hAnsi="Verdana" w:cs="Verdana"/>
        </w:rPr>
        <w:t>DEFENSORIA PÚBLICA DO ESTADO DO PARANÁ</w:t>
      </w:r>
    </w:p>
    <w:p w:rsidR="00865C85" w:rsidRDefault="00043CC6">
      <w:pPr>
        <w:spacing w:line="276" w:lineRule="auto"/>
        <w:jc w:val="both"/>
      </w:pPr>
      <w:r>
        <w:rPr>
          <w:rFonts w:ascii="Verdana" w:eastAsia="Verdana" w:hAnsi="Verdana" w:cs="Verdana"/>
        </w:rPr>
        <w:t xml:space="preserve">EDITAL DE PREGÃO ELETRÔNICO Nº </w:t>
      </w:r>
      <w:r w:rsidR="00886A3B">
        <w:rPr>
          <w:rFonts w:ascii="Verdana" w:eastAsia="Verdana" w:hAnsi="Verdana" w:cs="Verdana"/>
        </w:rPr>
        <w:t>007</w:t>
      </w:r>
      <w:r>
        <w:rPr>
          <w:rFonts w:ascii="Verdana" w:eastAsia="Verdana" w:hAnsi="Verdana" w:cs="Verdana"/>
        </w:rPr>
        <w:t>/2022</w:t>
      </w:r>
    </w:p>
    <w:p w:rsidR="00865C85" w:rsidRDefault="00865C85">
      <w:pPr>
        <w:spacing w:line="276" w:lineRule="auto"/>
        <w:jc w:val="center"/>
        <w:rPr>
          <w:rFonts w:ascii="Verdana" w:eastAsia="Verdana" w:hAnsi="Verdana" w:cs="Verdana"/>
          <w:b/>
        </w:rPr>
      </w:pPr>
    </w:p>
    <w:p w:rsidR="00865C85" w:rsidRDefault="00865C85">
      <w:pPr>
        <w:spacing w:line="276" w:lineRule="auto"/>
        <w:jc w:val="center"/>
        <w:rPr>
          <w:rFonts w:ascii="Verdana" w:eastAsia="Verdana" w:hAnsi="Verdana" w:cs="Verdana"/>
          <w:b/>
        </w:rPr>
      </w:pPr>
    </w:p>
    <w:p w:rsidR="00865C85" w:rsidRDefault="00865C85">
      <w:pPr>
        <w:spacing w:line="276" w:lineRule="auto"/>
        <w:jc w:val="both"/>
        <w:rPr>
          <w:rFonts w:ascii="Verdana" w:eastAsia="Verdana" w:hAnsi="Verdana" w:cs="Verdana"/>
          <w:b/>
        </w:rPr>
      </w:pPr>
    </w:p>
    <w:p w:rsidR="00865C85" w:rsidRDefault="00043CC6">
      <w:pPr>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rsidR="00865C85" w:rsidRDefault="00865C85">
      <w:pPr>
        <w:spacing w:line="276" w:lineRule="auto"/>
        <w:jc w:val="center"/>
        <w:rPr>
          <w:rFonts w:ascii="Verdana" w:eastAsia="Verdana" w:hAnsi="Verdana" w:cs="Verdana"/>
        </w:rPr>
      </w:pPr>
    </w:p>
    <w:p w:rsidR="00865C85" w:rsidRDefault="00865C85">
      <w:pPr>
        <w:spacing w:line="276" w:lineRule="auto"/>
        <w:jc w:val="center"/>
        <w:rPr>
          <w:rFonts w:ascii="Verdana" w:eastAsia="Verdana" w:hAnsi="Verdana" w:cs="Verdana"/>
        </w:rPr>
      </w:pPr>
    </w:p>
    <w:p w:rsidR="00865C85" w:rsidRDefault="00865C85">
      <w:pPr>
        <w:spacing w:line="276" w:lineRule="auto"/>
        <w:jc w:val="center"/>
        <w:rPr>
          <w:rFonts w:ascii="Verdana" w:eastAsia="Verdana" w:hAnsi="Verdana" w:cs="Verdana"/>
        </w:rPr>
      </w:pPr>
    </w:p>
    <w:p w:rsidR="00865C85" w:rsidRDefault="00043CC6">
      <w:pPr>
        <w:spacing w:line="276" w:lineRule="auto"/>
        <w:jc w:val="center"/>
      </w:pPr>
      <w:r>
        <w:rPr>
          <w:rFonts w:ascii="Verdana" w:eastAsia="Verdana" w:hAnsi="Verdana" w:cs="Verdana"/>
        </w:rPr>
        <w:t>(Local), ____ de __________ de 2022.</w:t>
      </w:r>
    </w:p>
    <w:p w:rsidR="00865C85" w:rsidRDefault="00865C85">
      <w:pPr>
        <w:spacing w:line="276" w:lineRule="auto"/>
        <w:jc w:val="center"/>
        <w:rPr>
          <w:rFonts w:ascii="Verdana" w:eastAsia="Verdana" w:hAnsi="Verdana" w:cs="Verdana"/>
        </w:rPr>
      </w:pPr>
    </w:p>
    <w:p w:rsidR="00865C85" w:rsidRDefault="00865C85">
      <w:pPr>
        <w:spacing w:line="276" w:lineRule="auto"/>
        <w:jc w:val="center"/>
        <w:rPr>
          <w:rFonts w:ascii="Verdana" w:eastAsia="Verdana" w:hAnsi="Verdana" w:cs="Verdana"/>
        </w:rPr>
      </w:pPr>
    </w:p>
    <w:p w:rsidR="00865C85" w:rsidRDefault="00865C85">
      <w:pPr>
        <w:spacing w:line="276" w:lineRule="auto"/>
        <w:jc w:val="center"/>
        <w:rPr>
          <w:rFonts w:ascii="Verdana" w:eastAsia="Verdana" w:hAnsi="Verdana" w:cs="Verdana"/>
        </w:rPr>
      </w:pPr>
    </w:p>
    <w:p w:rsidR="00865C85" w:rsidRDefault="00043CC6">
      <w:pPr>
        <w:spacing w:line="276" w:lineRule="auto"/>
        <w:jc w:val="center"/>
      </w:pPr>
      <w:r>
        <w:rPr>
          <w:rFonts w:ascii="Verdana" w:eastAsia="Verdana" w:hAnsi="Verdana" w:cs="Verdana"/>
        </w:rPr>
        <w:t>_______________________________</w:t>
      </w:r>
    </w:p>
    <w:p w:rsidR="00865C85" w:rsidRDefault="00043CC6">
      <w:pPr>
        <w:spacing w:line="276" w:lineRule="auto"/>
        <w:jc w:val="center"/>
      </w:pPr>
      <w:r>
        <w:rPr>
          <w:rFonts w:ascii="Verdana" w:eastAsia="Verdana" w:hAnsi="Verdana" w:cs="Verdana"/>
        </w:rPr>
        <w:t>Nome da Empresa</w:t>
      </w:r>
    </w:p>
    <w:p w:rsidR="00865C85" w:rsidRDefault="00043CC6">
      <w:pPr>
        <w:spacing w:line="276" w:lineRule="auto"/>
        <w:jc w:val="center"/>
      </w:pPr>
      <w:r>
        <w:rPr>
          <w:rFonts w:ascii="Verdana" w:eastAsia="Verdana" w:hAnsi="Verdana" w:cs="Verdana"/>
        </w:rPr>
        <w:t>CNPJ:</w:t>
      </w:r>
    </w:p>
    <w:p w:rsidR="00865C85" w:rsidRDefault="00865C85">
      <w:pPr>
        <w:spacing w:line="276" w:lineRule="auto"/>
        <w:jc w:val="center"/>
        <w:rPr>
          <w:rFonts w:ascii="Verdana" w:eastAsia="Verdana" w:hAnsi="Verdana" w:cs="Verdana"/>
        </w:rPr>
      </w:pPr>
    </w:p>
    <w:p w:rsidR="00865C85" w:rsidRDefault="00865C85">
      <w:pPr>
        <w:spacing w:line="276" w:lineRule="auto"/>
        <w:jc w:val="center"/>
        <w:rPr>
          <w:rFonts w:ascii="Verdana" w:eastAsia="Verdana" w:hAnsi="Verdana" w:cs="Verdana"/>
        </w:rPr>
      </w:pPr>
    </w:p>
    <w:p w:rsidR="00865C85" w:rsidRDefault="00865C85">
      <w:pPr>
        <w:spacing w:line="276" w:lineRule="auto"/>
        <w:jc w:val="center"/>
        <w:rPr>
          <w:rFonts w:ascii="Verdana" w:eastAsia="Verdana" w:hAnsi="Verdana" w:cs="Verdana"/>
        </w:rPr>
      </w:pPr>
    </w:p>
    <w:p w:rsidR="00865C85" w:rsidRDefault="00043CC6">
      <w:pPr>
        <w:spacing w:line="276" w:lineRule="auto"/>
        <w:jc w:val="center"/>
      </w:pPr>
      <w:r>
        <w:rPr>
          <w:rFonts w:ascii="Verdana" w:eastAsia="Verdana" w:hAnsi="Verdana" w:cs="Verdana"/>
        </w:rPr>
        <w:t>_________________________________________________________</w:t>
      </w:r>
    </w:p>
    <w:p w:rsidR="00865C85" w:rsidRDefault="00043CC6">
      <w:pPr>
        <w:spacing w:line="276" w:lineRule="auto"/>
        <w:jc w:val="center"/>
      </w:pPr>
      <w:r>
        <w:rPr>
          <w:rFonts w:ascii="Verdana" w:eastAsia="Verdana" w:hAnsi="Verdana" w:cs="Verdana"/>
        </w:rPr>
        <w:t>Representante Legal ou Procurador do Licitante</w:t>
      </w:r>
    </w:p>
    <w:p w:rsidR="00865C85" w:rsidRDefault="00043CC6">
      <w:pPr>
        <w:spacing w:line="276" w:lineRule="auto"/>
        <w:jc w:val="center"/>
        <w:rPr>
          <w:rFonts w:ascii="Verdana" w:eastAsia="Verdana" w:hAnsi="Verdana" w:cs="Verdana"/>
          <w:b/>
        </w:rPr>
      </w:pPr>
      <w:r>
        <w:rPr>
          <w:rFonts w:ascii="Verdana" w:eastAsia="Verdana" w:hAnsi="Verdana" w:cs="Verdana"/>
        </w:rPr>
        <w:t>(nome e assinatura)</w:t>
      </w:r>
    </w:p>
    <w:sectPr w:rsidR="00865C85" w:rsidSect="00814F1A">
      <w:headerReference w:type="even" r:id="rId8"/>
      <w:headerReference w:type="default" r:id="rId9"/>
      <w:footerReference w:type="even" r:id="rId10"/>
      <w:footerReference w:type="default" r:id="rId11"/>
      <w:headerReference w:type="first" r:id="rId12"/>
      <w:footerReference w:type="first" r:id="rId13"/>
      <w:pgSz w:w="11906" w:h="16838"/>
      <w:pgMar w:top="1535" w:right="1134" w:bottom="1134" w:left="1531" w:header="6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A8C" w:rsidRDefault="00B11A8C">
      <w:r>
        <w:separator/>
      </w:r>
    </w:p>
  </w:endnote>
  <w:endnote w:type="continuationSeparator" w:id="1">
    <w:p w:rsidR="00B11A8C" w:rsidRDefault="00B11A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85" w:rsidRDefault="00043CC6">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rsidR="00865C85" w:rsidRDefault="00043CC6">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rsidR="00865C85" w:rsidRDefault="00865C85">
    <w:pPr>
      <w:pBdr>
        <w:top w:val="nil"/>
        <w:left w:val="nil"/>
        <w:bottom w:val="nil"/>
        <w:right w:val="nil"/>
        <w:between w:val="nil"/>
      </w:pBdr>
      <w:tabs>
        <w:tab w:val="center" w:pos="4419"/>
        <w:tab w:val="right" w:pos="8838"/>
      </w:tabs>
      <w:jc w:val="center"/>
      <w:rPr>
        <w:rFonts w:ascii="Tahoma" w:eastAsia="Tahoma" w:hAnsi="Tahoma" w:cs="Tahoma"/>
        <w:color w:val="808080"/>
      </w:rPr>
    </w:pPr>
  </w:p>
  <w:p w:rsidR="00865C85" w:rsidRDefault="00865C85">
    <w:pPr>
      <w:pBdr>
        <w:top w:val="nil"/>
        <w:left w:val="nil"/>
        <w:bottom w:val="nil"/>
        <w:right w:val="nil"/>
        <w:between w:val="nil"/>
      </w:pBdr>
      <w:tabs>
        <w:tab w:val="center" w:pos="4419"/>
        <w:tab w:val="right" w:pos="8838"/>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85" w:rsidRDefault="00865C85">
    <w:pPr>
      <w:pBdr>
        <w:top w:val="nil"/>
        <w:left w:val="nil"/>
        <w:bottom w:val="nil"/>
        <w:right w:val="nil"/>
        <w:between w:val="nil"/>
      </w:pBdr>
      <w:tabs>
        <w:tab w:val="center" w:pos="4419"/>
        <w:tab w:val="right" w:pos="8838"/>
      </w:tabs>
      <w:rPr>
        <w:color w:val="000000"/>
      </w:rPr>
    </w:pPr>
  </w:p>
  <w:p w:rsidR="00865C85" w:rsidRDefault="00865C85">
    <w:pPr>
      <w:pBdr>
        <w:top w:val="nil"/>
        <w:left w:val="nil"/>
        <w:bottom w:val="nil"/>
        <w:right w:val="nil"/>
        <w:between w:val="nil"/>
      </w:pBdr>
      <w:tabs>
        <w:tab w:val="center" w:pos="4419"/>
        <w:tab w:val="right" w:pos="8838"/>
      </w:tabs>
      <w:rPr>
        <w:color w:val="000000"/>
        <w:sz w:val="2"/>
        <w:szCs w:val="2"/>
      </w:rPr>
    </w:pPr>
  </w:p>
  <w:p w:rsidR="00865C85" w:rsidRDefault="00865C85">
    <w:pPr>
      <w:pBdr>
        <w:top w:val="nil"/>
        <w:left w:val="nil"/>
        <w:bottom w:val="nil"/>
        <w:right w:val="nil"/>
        <w:between w:val="nil"/>
      </w:pBdr>
      <w:tabs>
        <w:tab w:val="center" w:pos="4419"/>
        <w:tab w:val="right" w:pos="8838"/>
      </w:tabs>
      <w:rPr>
        <w:color w:val="000000"/>
      </w:rPr>
    </w:pPr>
  </w:p>
  <w:p w:rsidR="00865C85" w:rsidRDefault="00865C85">
    <w:pPr>
      <w:pBdr>
        <w:top w:val="nil"/>
        <w:left w:val="nil"/>
        <w:bottom w:val="nil"/>
        <w:right w:val="nil"/>
        <w:between w:val="nil"/>
      </w:pBdr>
      <w:tabs>
        <w:tab w:val="center" w:pos="4419"/>
        <w:tab w:val="right" w:pos="8838"/>
      </w:tabs>
      <w:rPr>
        <w:color w:val="000000"/>
      </w:rPr>
    </w:pPr>
  </w:p>
  <w:p w:rsidR="00865C85" w:rsidRDefault="00865C85">
    <w:pPr>
      <w:pBdr>
        <w:top w:val="nil"/>
        <w:left w:val="nil"/>
        <w:bottom w:val="nil"/>
        <w:right w:val="nil"/>
        <w:between w:val="nil"/>
      </w:pBdr>
      <w:tabs>
        <w:tab w:val="center" w:pos="4419"/>
        <w:tab w:val="right" w:pos="8838"/>
      </w:tabs>
      <w:rPr>
        <w:color w:val="000000"/>
      </w:rPr>
    </w:pPr>
  </w:p>
  <w:p w:rsidR="00865C85" w:rsidRDefault="00865C85">
    <w:pPr>
      <w:pBdr>
        <w:top w:val="nil"/>
        <w:left w:val="nil"/>
        <w:bottom w:val="nil"/>
        <w:right w:val="nil"/>
        <w:between w:val="nil"/>
      </w:pBdr>
      <w:tabs>
        <w:tab w:val="center" w:pos="4419"/>
        <w:tab w:val="right" w:pos="8838"/>
      </w:tabs>
      <w:rPr>
        <w:color w:val="000000"/>
      </w:rPr>
    </w:pPr>
  </w:p>
  <w:p w:rsidR="00865C85" w:rsidRDefault="00865C85">
    <w:pPr>
      <w:pBdr>
        <w:top w:val="nil"/>
        <w:left w:val="nil"/>
        <w:bottom w:val="nil"/>
        <w:right w:val="nil"/>
        <w:between w:val="nil"/>
      </w:pBdr>
      <w:tabs>
        <w:tab w:val="center" w:pos="4419"/>
        <w:tab w:val="right" w:pos="8838"/>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85" w:rsidRDefault="00865C85">
    <w:pPr>
      <w:pBdr>
        <w:top w:val="nil"/>
        <w:left w:val="nil"/>
        <w:bottom w:val="nil"/>
        <w:right w:val="nil"/>
        <w:between w:val="nil"/>
      </w:pBdr>
      <w:tabs>
        <w:tab w:val="center" w:pos="4419"/>
        <w:tab w:val="right" w:pos="88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A8C" w:rsidRDefault="00B11A8C">
      <w:r>
        <w:separator/>
      </w:r>
    </w:p>
  </w:footnote>
  <w:footnote w:type="continuationSeparator" w:id="1">
    <w:p w:rsidR="00B11A8C" w:rsidRDefault="00B11A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85" w:rsidRDefault="00865C85">
    <w:pPr>
      <w:pBdr>
        <w:top w:val="nil"/>
        <w:left w:val="nil"/>
        <w:bottom w:val="nil"/>
        <w:right w:val="nil"/>
        <w:between w:val="nil"/>
      </w:pBdr>
      <w:tabs>
        <w:tab w:val="center" w:pos="4419"/>
        <w:tab w:val="right" w:pos="8838"/>
      </w:tabs>
      <w:jc w:val="right"/>
      <w:rPr>
        <w:color w:val="000000"/>
      </w:rPr>
    </w:pPr>
  </w:p>
  <w:p w:rsidR="00865C85" w:rsidRDefault="00043CC6">
    <w:pPr>
      <w:pBdr>
        <w:top w:val="nil"/>
        <w:left w:val="nil"/>
        <w:bottom w:val="nil"/>
        <w:right w:val="nil"/>
        <w:between w:val="nil"/>
      </w:pBdr>
      <w:tabs>
        <w:tab w:val="center" w:pos="4419"/>
        <w:tab w:val="right" w:pos="8838"/>
      </w:tabs>
      <w:jc w:val="right"/>
      <w:rPr>
        <w:color w:val="000000"/>
      </w:rPr>
    </w:pPr>
    <w:r>
      <w:rPr>
        <w:color w:val="000000"/>
      </w:rPr>
      <w:t xml:space="preserve">Página </w:t>
    </w:r>
    <w:r w:rsidR="00814F1A">
      <w:rPr>
        <w:b/>
        <w:color w:val="000000"/>
        <w:sz w:val="24"/>
        <w:szCs w:val="24"/>
      </w:rPr>
      <w:fldChar w:fldCharType="begin"/>
    </w:r>
    <w:r>
      <w:rPr>
        <w:b/>
        <w:color w:val="000000"/>
        <w:sz w:val="24"/>
        <w:szCs w:val="24"/>
      </w:rPr>
      <w:instrText>PAGE</w:instrText>
    </w:r>
    <w:r w:rsidR="00814F1A">
      <w:rPr>
        <w:b/>
        <w:color w:val="000000"/>
        <w:sz w:val="24"/>
        <w:szCs w:val="24"/>
      </w:rPr>
      <w:fldChar w:fldCharType="end"/>
    </w:r>
    <w:r>
      <w:rPr>
        <w:color w:val="000000"/>
      </w:rPr>
      <w:t xml:space="preserve"> de </w:t>
    </w:r>
    <w:r w:rsidR="00814F1A">
      <w:rPr>
        <w:b/>
        <w:color w:val="000000"/>
        <w:sz w:val="24"/>
        <w:szCs w:val="24"/>
      </w:rPr>
      <w:fldChar w:fldCharType="begin"/>
    </w:r>
    <w:r>
      <w:rPr>
        <w:b/>
        <w:color w:val="000000"/>
        <w:sz w:val="24"/>
        <w:szCs w:val="24"/>
      </w:rPr>
      <w:instrText>NUMPAGES</w:instrText>
    </w:r>
    <w:r w:rsidR="00814F1A">
      <w:rPr>
        <w:b/>
        <w:color w:val="000000"/>
        <w:sz w:val="24"/>
        <w:szCs w:val="24"/>
      </w:rPr>
      <w:fldChar w:fldCharType="separate"/>
    </w:r>
    <w:r w:rsidR="00ED1D16">
      <w:rPr>
        <w:b/>
        <w:noProof/>
        <w:color w:val="000000"/>
        <w:sz w:val="24"/>
        <w:szCs w:val="24"/>
      </w:rPr>
      <w:t>30</w:t>
    </w:r>
    <w:r w:rsidR="00814F1A">
      <w:rPr>
        <w:b/>
        <w:color w:val="000000"/>
        <w:sz w:val="24"/>
        <w:szCs w:val="24"/>
      </w:rPr>
      <w:fldChar w:fldCharType="end"/>
    </w:r>
  </w:p>
  <w:p w:rsidR="00865C85" w:rsidRDefault="00865C85">
    <w:pPr>
      <w:rPr>
        <w:b/>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85" w:rsidRDefault="00865C85">
    <w:pPr>
      <w:pBdr>
        <w:top w:val="nil"/>
        <w:left w:val="nil"/>
        <w:bottom w:val="nil"/>
        <w:right w:val="nil"/>
        <w:between w:val="nil"/>
      </w:pBdr>
      <w:tabs>
        <w:tab w:val="center" w:pos="4419"/>
        <w:tab w:val="right" w:pos="8838"/>
      </w:tabs>
      <w:jc w:val="right"/>
      <w:rPr>
        <w:color w:val="000000"/>
      </w:rPr>
    </w:pPr>
  </w:p>
  <w:p w:rsidR="00865C85" w:rsidRDefault="00043CC6">
    <w:pPr>
      <w:pBdr>
        <w:top w:val="nil"/>
        <w:left w:val="nil"/>
        <w:bottom w:val="nil"/>
        <w:right w:val="nil"/>
        <w:between w:val="nil"/>
      </w:pBdr>
      <w:tabs>
        <w:tab w:val="center" w:pos="4419"/>
        <w:tab w:val="right" w:pos="8838"/>
      </w:tabs>
      <w:jc w:val="right"/>
      <w:rPr>
        <w:b/>
        <w:color w:val="000000"/>
        <w:sz w:val="24"/>
        <w:szCs w:val="24"/>
      </w:rPr>
    </w:pPr>
    <w:r>
      <w:rPr>
        <w:color w:val="000000"/>
      </w:rPr>
      <w:t xml:space="preserve">Página </w:t>
    </w:r>
    <w:r w:rsidR="00814F1A">
      <w:rPr>
        <w:b/>
        <w:color w:val="000000"/>
        <w:sz w:val="24"/>
        <w:szCs w:val="24"/>
      </w:rPr>
      <w:fldChar w:fldCharType="begin"/>
    </w:r>
    <w:r>
      <w:rPr>
        <w:b/>
        <w:color w:val="000000"/>
        <w:sz w:val="24"/>
        <w:szCs w:val="24"/>
      </w:rPr>
      <w:instrText>PAGE</w:instrText>
    </w:r>
    <w:r w:rsidR="00814F1A">
      <w:rPr>
        <w:b/>
        <w:color w:val="000000"/>
        <w:sz w:val="24"/>
        <w:szCs w:val="24"/>
      </w:rPr>
      <w:fldChar w:fldCharType="separate"/>
    </w:r>
    <w:r w:rsidR="000F68DF">
      <w:rPr>
        <w:b/>
        <w:noProof/>
        <w:color w:val="000000"/>
        <w:sz w:val="24"/>
        <w:szCs w:val="24"/>
      </w:rPr>
      <w:t>16</w:t>
    </w:r>
    <w:r w:rsidR="00814F1A">
      <w:rPr>
        <w:b/>
        <w:color w:val="000000"/>
        <w:sz w:val="24"/>
        <w:szCs w:val="24"/>
      </w:rPr>
      <w:fldChar w:fldCharType="end"/>
    </w:r>
    <w:r>
      <w:rPr>
        <w:color w:val="000000"/>
      </w:rPr>
      <w:t xml:space="preserve"> de </w:t>
    </w:r>
    <w:r w:rsidR="00814F1A">
      <w:rPr>
        <w:b/>
        <w:color w:val="000000"/>
        <w:sz w:val="24"/>
        <w:szCs w:val="24"/>
      </w:rPr>
      <w:fldChar w:fldCharType="begin"/>
    </w:r>
    <w:r>
      <w:rPr>
        <w:b/>
        <w:color w:val="000000"/>
        <w:sz w:val="24"/>
        <w:szCs w:val="24"/>
      </w:rPr>
      <w:instrText>NUMPAGES</w:instrText>
    </w:r>
    <w:r w:rsidR="00814F1A">
      <w:rPr>
        <w:b/>
        <w:color w:val="000000"/>
        <w:sz w:val="24"/>
        <w:szCs w:val="24"/>
      </w:rPr>
      <w:fldChar w:fldCharType="separate"/>
    </w:r>
    <w:r w:rsidR="000F68DF">
      <w:rPr>
        <w:b/>
        <w:noProof/>
        <w:color w:val="000000"/>
        <w:sz w:val="24"/>
        <w:szCs w:val="24"/>
      </w:rPr>
      <w:t>17</w:t>
    </w:r>
    <w:r w:rsidR="00814F1A">
      <w:rPr>
        <w:b/>
        <w:color w:val="000000"/>
        <w:sz w:val="24"/>
        <w:szCs w:val="24"/>
      </w:rPr>
      <w:fldChar w:fldCharType="end"/>
    </w:r>
  </w:p>
  <w:p w:rsidR="00865C85" w:rsidRDefault="00043CC6">
    <w:pPr>
      <w:tabs>
        <w:tab w:val="center" w:pos="4419"/>
        <w:tab w:val="right" w:pos="8838"/>
      </w:tabs>
      <w:jc w:val="center"/>
    </w:pPr>
    <w:r>
      <w:rPr>
        <w:noProof/>
        <w:lang w:eastAsia="pt-BR"/>
      </w:rPr>
      <w:drawing>
        <wp:inline distT="114300" distB="114300" distL="114300" distR="114300">
          <wp:extent cx="1818995" cy="75397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8995" cy="753970"/>
                  </a:xfrm>
                  <a:prstGeom prst="rect">
                    <a:avLst/>
                  </a:prstGeom>
                  <a:ln/>
                </pic:spPr>
              </pic:pic>
            </a:graphicData>
          </a:graphic>
        </wp:inline>
      </w:drawing>
    </w:r>
  </w:p>
  <w:p w:rsidR="00865C85" w:rsidRDefault="00865C85">
    <w:pPr>
      <w:tabs>
        <w:tab w:val="center" w:pos="4419"/>
        <w:tab w:val="right" w:pos="8838"/>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C85" w:rsidRDefault="00865C85">
    <w:pPr>
      <w:pBdr>
        <w:top w:val="nil"/>
        <w:left w:val="nil"/>
        <w:bottom w:val="nil"/>
        <w:right w:val="nil"/>
        <w:between w:val="nil"/>
      </w:pBdr>
      <w:tabs>
        <w:tab w:val="center" w:pos="4419"/>
        <w:tab w:val="right" w:pos="8838"/>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149C1"/>
    <w:multiLevelType w:val="multilevel"/>
    <w:tmpl w:val="5D0287B0"/>
    <w:lvl w:ilvl="0">
      <w:start w:val="1"/>
      <w:numFmt w:val="decimal"/>
      <w:lvlText w:val="%1."/>
      <w:lvlJc w:val="left"/>
      <w:pPr>
        <w:ind w:left="720" w:hanging="360"/>
      </w:pPr>
      <w:rPr>
        <w:b/>
      </w:rPr>
    </w:lvl>
    <w:lvl w:ilvl="1">
      <w:start w:val="1"/>
      <w:numFmt w:val="decimal"/>
      <w:lvlText w:val="%1.%2."/>
      <w:lvlJc w:val="left"/>
      <w:pPr>
        <w:ind w:left="720" w:hanging="360"/>
      </w:pPr>
      <w:rPr>
        <w:rFonts w:ascii="Arial" w:eastAsia="Arial" w:hAnsi="Arial" w:cs="Arial"/>
        <w:b w:val="0"/>
      </w:rPr>
    </w:lvl>
    <w:lvl w:ilvl="2">
      <w:start w:val="1"/>
      <w:numFmt w:val="decimal"/>
      <w:lvlText w:val="%1.%2.%3."/>
      <w:lvlJc w:val="left"/>
      <w:pPr>
        <w:ind w:left="1080" w:hanging="720"/>
      </w:pPr>
      <w:rPr>
        <w:rFonts w:ascii="Arial" w:eastAsia="Arial" w:hAnsi="Arial" w:cs="Arial"/>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footnotePr>
    <w:footnote w:id="0"/>
    <w:footnote w:id="1"/>
  </w:footnotePr>
  <w:endnotePr>
    <w:endnote w:id="0"/>
    <w:endnote w:id="1"/>
  </w:endnotePr>
  <w:compat/>
  <w:rsids>
    <w:rsidRoot w:val="00865C85"/>
    <w:rsid w:val="00043CC6"/>
    <w:rsid w:val="000B6271"/>
    <w:rsid w:val="000F68DF"/>
    <w:rsid w:val="007C3B7D"/>
    <w:rsid w:val="00814F1A"/>
    <w:rsid w:val="00865C85"/>
    <w:rsid w:val="00875A52"/>
    <w:rsid w:val="00886A3B"/>
    <w:rsid w:val="00983B99"/>
    <w:rsid w:val="00B11A8C"/>
    <w:rsid w:val="00D767A9"/>
    <w:rsid w:val="00ED1D16"/>
    <w:rsid w:val="00FA3DF1"/>
    <w:rsid w:val="00FD682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084"/>
    <w:pPr>
      <w:suppressAutoHyphens/>
    </w:pPr>
    <w:rPr>
      <w:lang w:eastAsia="ar-SA"/>
    </w:rPr>
  </w:style>
  <w:style w:type="paragraph" w:styleId="Ttulo1">
    <w:name w:val="heading 1"/>
    <w:basedOn w:val="Normal"/>
    <w:link w:val="Ttulo1Char"/>
    <w:uiPriority w:val="9"/>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semiHidden/>
    <w:unhideWhenUsed/>
    <w:qFormat/>
    <w:rsid w:val="003D52F6"/>
    <w:pPr>
      <w:spacing w:before="100" w:beforeAutospacing="1" w:after="100" w:afterAutospacing="1"/>
      <w:outlineLvl w:val="1"/>
    </w:pPr>
    <w:rPr>
      <w:b/>
      <w:bCs/>
      <w:sz w:val="36"/>
      <w:szCs w:val="36"/>
      <w:lang w:eastAsia="pt-BR"/>
    </w:rPr>
  </w:style>
  <w:style w:type="paragraph" w:styleId="Ttulo3">
    <w:name w:val="heading 3"/>
    <w:basedOn w:val="Normal"/>
    <w:next w:val="Normal"/>
    <w:uiPriority w:val="9"/>
    <w:semiHidden/>
    <w:unhideWhenUsed/>
    <w:qFormat/>
    <w:rsid w:val="00814F1A"/>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814F1A"/>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814F1A"/>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814F1A"/>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814F1A"/>
    <w:tblPr>
      <w:tblCellMar>
        <w:top w:w="0" w:type="dxa"/>
        <w:left w:w="0" w:type="dxa"/>
        <w:bottom w:w="0" w:type="dxa"/>
        <w:right w:w="0" w:type="dxa"/>
      </w:tblCellMar>
    </w:tblPr>
  </w:style>
  <w:style w:type="paragraph" w:styleId="Ttulo">
    <w:name w:val="Title"/>
    <w:basedOn w:val="Normal"/>
    <w:next w:val="Normal"/>
    <w:uiPriority w:val="10"/>
    <w:qFormat/>
    <w:rsid w:val="00814F1A"/>
    <w:pPr>
      <w:keepNext/>
      <w:keepLines/>
      <w:spacing w:before="480" w:after="120"/>
    </w:pPr>
    <w:rPr>
      <w:b/>
      <w:sz w:val="72"/>
      <w:szCs w:val="72"/>
    </w:rPr>
  </w:style>
  <w:style w:type="table" w:customStyle="1" w:styleId="TableNormal0">
    <w:name w:val="Table Normal"/>
    <w:rsid w:val="00814F1A"/>
    <w:tblPr>
      <w:tblCellMar>
        <w:top w:w="0" w:type="dxa"/>
        <w:left w:w="0" w:type="dxa"/>
        <w:bottom w:w="0" w:type="dxa"/>
        <w:right w:w="0" w:type="dxa"/>
      </w:tblCellMar>
    </w:tblPr>
  </w:style>
  <w:style w:type="table" w:customStyle="1" w:styleId="TableNormal1">
    <w:name w:val="Table Normal"/>
    <w:rsid w:val="00814F1A"/>
    <w:tblPr>
      <w:tblCellMar>
        <w:top w:w="0" w:type="dxa"/>
        <w:left w:w="0" w:type="dxa"/>
        <w:bottom w:w="0" w:type="dxa"/>
        <w:right w:w="0" w:type="dxa"/>
      </w:tblCellMar>
    </w:tblPr>
  </w:style>
  <w:style w:type="character" w:customStyle="1" w:styleId="Ttulo1Char">
    <w:name w:val="Título 1 Char"/>
    <w:basedOn w:val="Fontepargpadro"/>
    <w:link w:val="Ttulo1"/>
    <w:uiPriority w:val="9"/>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character" w:customStyle="1" w:styleId="TextodenotaderodapChar">
    <w:name w:val="Texto de nota de rodapé Char"/>
    <w:basedOn w:val="Fontepargpadro"/>
    <w:link w:val="Textodenotaderodap"/>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iPriority w:val="99"/>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39"/>
    <w:rsid w:val="00E83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D32C82"/>
    <w:rPr>
      <w:color w:val="800080" w:themeColor="followedHyperlink"/>
      <w:u w:val="single"/>
    </w:rPr>
  </w:style>
  <w:style w:type="character" w:styleId="Refdecomentrio">
    <w:name w:val="annotation reference"/>
    <w:basedOn w:val="Fontepargpadro"/>
    <w:uiPriority w:val="99"/>
    <w:semiHidden/>
    <w:unhideWhenUsed/>
    <w:rsid w:val="00825253"/>
    <w:rPr>
      <w:sz w:val="16"/>
      <w:szCs w:val="16"/>
    </w:rPr>
  </w:style>
  <w:style w:type="paragraph" w:styleId="Textodecomentrio">
    <w:name w:val="annotation text"/>
    <w:basedOn w:val="Normal"/>
    <w:link w:val="TextodecomentrioChar"/>
    <w:uiPriority w:val="99"/>
    <w:semiHidden/>
    <w:unhideWhenUsed/>
    <w:rsid w:val="00825253"/>
  </w:style>
  <w:style w:type="character" w:customStyle="1" w:styleId="TextodecomentrioChar">
    <w:name w:val="Texto de comentário Char"/>
    <w:basedOn w:val="Fontepargpadro"/>
    <w:link w:val="Textodecomentrio"/>
    <w:uiPriority w:val="99"/>
    <w:semiHidden/>
    <w:rsid w:val="0082525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825253"/>
    <w:rPr>
      <w:b/>
      <w:bCs/>
    </w:rPr>
  </w:style>
  <w:style w:type="character" w:customStyle="1" w:styleId="AssuntodocomentrioChar">
    <w:name w:val="Assunto do comentário Char"/>
    <w:basedOn w:val="TextodecomentrioChar"/>
    <w:link w:val="Assuntodocomentrio"/>
    <w:uiPriority w:val="99"/>
    <w:semiHidden/>
    <w:rsid w:val="00825253"/>
    <w:rPr>
      <w:rFonts w:ascii="Times New Roman" w:eastAsia="Times New Roman" w:hAnsi="Times New Roman" w:cs="Times New Roman"/>
      <w:b/>
      <w:bCs/>
      <w:sz w:val="20"/>
      <w:szCs w:val="20"/>
      <w:lang w:eastAsia="ar-SA"/>
    </w:rPr>
  </w:style>
  <w:style w:type="paragraph" w:styleId="Subttulo">
    <w:name w:val="Subtitle"/>
    <w:basedOn w:val="Normal"/>
    <w:next w:val="Normal"/>
    <w:uiPriority w:val="11"/>
    <w:qFormat/>
    <w:rsid w:val="00814F1A"/>
    <w:pPr>
      <w:keepNext/>
      <w:keepLines/>
      <w:spacing w:before="360" w:after="80"/>
    </w:pPr>
    <w:rPr>
      <w:rFonts w:ascii="Georgia" w:eastAsia="Georgia" w:hAnsi="Georgia" w:cs="Georgia"/>
      <w:i/>
      <w:color w:val="666666"/>
      <w:sz w:val="48"/>
      <w:szCs w:val="48"/>
    </w:rPr>
  </w:style>
  <w:style w:type="table" w:customStyle="1" w:styleId="a">
    <w:basedOn w:val="TableNormal1"/>
    <w:rsid w:val="00814F1A"/>
    <w:tblPr>
      <w:tblStyleRowBandSize w:val="1"/>
      <w:tblStyleColBandSize w:val="1"/>
      <w:tblCellMar>
        <w:top w:w="0" w:type="dxa"/>
        <w:left w:w="108" w:type="dxa"/>
        <w:bottom w:w="0" w:type="dxa"/>
        <w:right w:w="108" w:type="dxa"/>
      </w:tblCellMar>
    </w:tblPr>
  </w:style>
  <w:style w:type="table" w:customStyle="1" w:styleId="a0">
    <w:basedOn w:val="TableNormal1"/>
    <w:rsid w:val="00814F1A"/>
    <w:tblPr>
      <w:tblStyleRowBandSize w:val="1"/>
      <w:tblStyleColBandSize w:val="1"/>
      <w:tblCellMar>
        <w:top w:w="0" w:type="dxa"/>
        <w:left w:w="108" w:type="dxa"/>
        <w:bottom w:w="0" w:type="dxa"/>
        <w:right w:w="108" w:type="dxa"/>
      </w:tblCellMar>
    </w:tblPr>
  </w:style>
  <w:style w:type="table" w:customStyle="1" w:styleId="a1">
    <w:basedOn w:val="TableNormal1"/>
    <w:rsid w:val="00814F1A"/>
    <w:tblPr>
      <w:tblStyleRowBandSize w:val="1"/>
      <w:tblStyleColBandSize w:val="1"/>
      <w:tblCellMar>
        <w:top w:w="0" w:type="dxa"/>
        <w:left w:w="108" w:type="dxa"/>
        <w:bottom w:w="0" w:type="dxa"/>
        <w:right w:w="108" w:type="dxa"/>
      </w:tblCellMar>
    </w:tblPr>
  </w:style>
  <w:style w:type="table" w:customStyle="1" w:styleId="a2">
    <w:basedOn w:val="TableNormal1"/>
    <w:rsid w:val="00814F1A"/>
    <w:tblPr>
      <w:tblStyleRowBandSize w:val="1"/>
      <w:tblStyleColBandSize w:val="1"/>
      <w:tblCellMar>
        <w:top w:w="0" w:type="dxa"/>
        <w:left w:w="108" w:type="dxa"/>
        <w:bottom w:w="0" w:type="dxa"/>
        <w:right w:w="108" w:type="dxa"/>
      </w:tblCellMar>
    </w:tblPr>
  </w:style>
  <w:style w:type="table" w:customStyle="1" w:styleId="a3">
    <w:basedOn w:val="TableNormal1"/>
    <w:rsid w:val="00814F1A"/>
    <w:tblPr>
      <w:tblStyleRowBandSize w:val="1"/>
      <w:tblStyleColBandSize w:val="1"/>
      <w:tblCellMar>
        <w:top w:w="0" w:type="dxa"/>
        <w:left w:w="108" w:type="dxa"/>
        <w:bottom w:w="0" w:type="dxa"/>
        <w:right w:w="108" w:type="dxa"/>
      </w:tblCellMar>
    </w:tblPr>
  </w:style>
  <w:style w:type="table" w:customStyle="1" w:styleId="a4">
    <w:basedOn w:val="TableNormal1"/>
    <w:rsid w:val="00814F1A"/>
    <w:tblPr>
      <w:tblStyleRowBandSize w:val="1"/>
      <w:tblStyleColBandSize w:val="1"/>
      <w:tblCellMar>
        <w:top w:w="57" w:type="dxa"/>
        <w:left w:w="57" w:type="dxa"/>
        <w:bottom w:w="57" w:type="dxa"/>
        <w:right w:w="57" w:type="dxa"/>
      </w:tblCellMar>
    </w:tblPr>
  </w:style>
  <w:style w:type="table" w:customStyle="1" w:styleId="a5">
    <w:basedOn w:val="TableNormal1"/>
    <w:rsid w:val="00814F1A"/>
    <w:tblPr>
      <w:tblStyleRowBandSize w:val="1"/>
      <w:tblStyleColBandSize w:val="1"/>
      <w:tblCellMar>
        <w:top w:w="57" w:type="dxa"/>
        <w:left w:w="57" w:type="dxa"/>
        <w:bottom w:w="57" w:type="dxa"/>
        <w:right w:w="57" w:type="dxa"/>
      </w:tblCellMar>
    </w:tblPr>
  </w:style>
  <w:style w:type="table" w:customStyle="1" w:styleId="a6">
    <w:basedOn w:val="TableNormal1"/>
    <w:rsid w:val="00814F1A"/>
    <w:tblPr>
      <w:tblStyleRowBandSize w:val="1"/>
      <w:tblStyleColBandSize w:val="1"/>
      <w:tblCellMar>
        <w:top w:w="57" w:type="dxa"/>
        <w:left w:w="57" w:type="dxa"/>
        <w:bottom w:w="57" w:type="dxa"/>
        <w:right w:w="57" w:type="dxa"/>
      </w:tblCellMar>
    </w:tblPr>
  </w:style>
  <w:style w:type="table" w:customStyle="1" w:styleId="a7">
    <w:basedOn w:val="TableNormal1"/>
    <w:rsid w:val="00814F1A"/>
    <w:tblPr>
      <w:tblStyleRowBandSize w:val="1"/>
      <w:tblStyleColBandSize w:val="1"/>
      <w:tblCellMar>
        <w:top w:w="57" w:type="dxa"/>
        <w:left w:w="57" w:type="dxa"/>
        <w:bottom w:w="57" w:type="dxa"/>
        <w:right w:w="57" w:type="dxa"/>
      </w:tblCellMar>
    </w:tblPr>
  </w:style>
  <w:style w:type="table" w:customStyle="1" w:styleId="a8">
    <w:basedOn w:val="TableNormal1"/>
    <w:rsid w:val="00814F1A"/>
    <w:tblPr>
      <w:tblStyleRowBandSize w:val="1"/>
      <w:tblStyleColBandSize w:val="1"/>
      <w:tblCellMar>
        <w:top w:w="57" w:type="dxa"/>
        <w:left w:w="57" w:type="dxa"/>
        <w:bottom w:w="57" w:type="dxa"/>
        <w:right w:w="57" w:type="dxa"/>
      </w:tblCellMar>
    </w:tblPr>
  </w:style>
  <w:style w:type="table" w:customStyle="1" w:styleId="a9">
    <w:basedOn w:val="TableNormal1"/>
    <w:rsid w:val="00814F1A"/>
    <w:tblPr>
      <w:tblStyleRowBandSize w:val="1"/>
      <w:tblStyleColBandSize w:val="1"/>
      <w:tblCellMar>
        <w:top w:w="57" w:type="dxa"/>
        <w:left w:w="57" w:type="dxa"/>
        <w:bottom w:w="57" w:type="dxa"/>
        <w:right w:w="57"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piPNrONG8Q4nZwJJEEQUkwYGNg==">AMUW2mWTVONVHxOhwaUPMLwCpajkKlCfpZ+rsX6mZjsDlwH5wQZOLK6p85RmUvmrqb+rp0Ybk/d8Q0Mgl7zArz7QW8MJDNJEc2ZjwkUL0xz8si6nzHzpgXBkfKa1TXsMhfrixjXCmoWiLXkdVrtzYJVmGgIwKH0lTp9dyNqy+q0LmVGLWopDmek=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3538</Words>
  <Characters>19111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vanessa cavalaro</cp:lastModifiedBy>
  <cp:revision>2</cp:revision>
  <cp:lastPrinted>2022-05-02T13:25:00Z</cp:lastPrinted>
  <dcterms:created xsi:type="dcterms:W3CDTF">2022-05-03T15:03:00Z</dcterms:created>
  <dcterms:modified xsi:type="dcterms:W3CDTF">2022-05-03T15:03:00Z</dcterms:modified>
</cp:coreProperties>
</file>